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b w:val="0"/>
        </w:rPr>
      </w:pPr>
    </w:p>
    <w:p>
      <w:pPr>
        <w:pStyle w:val="BodyText"/>
        <w:spacing w:before="2"/>
        <w:rPr>
          <w:rFonts w:ascii="Times New Roman"/>
          <w:b w:val="0"/>
          <w:sz w:val="17"/>
        </w:rPr>
      </w:pPr>
    </w:p>
    <w:p>
      <w:pPr>
        <w:spacing w:before="101"/>
        <w:ind w:left="0" w:right="137" w:firstLine="0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>
      <w:pPr>
        <w:pStyle w:val="BodyText"/>
        <w:spacing w:before="8"/>
        <w:rPr>
          <w:sz w:val="14"/>
        </w:rPr>
      </w:pPr>
    </w:p>
    <w:p>
      <w:pPr>
        <w:tabs>
          <w:tab w:pos="2145" w:val="left" w:leader="none"/>
        </w:tabs>
        <w:spacing w:before="100"/>
        <w:ind w:left="0" w:right="188" w:firstLine="0"/>
        <w:jc w:val="center"/>
        <w:rPr>
          <w:b/>
          <w:sz w:val="22"/>
        </w:rPr>
      </w:pPr>
      <w:r>
        <w:rPr>
          <w:b/>
          <w:sz w:val="22"/>
        </w:rPr>
        <w:t>PROCEDIMIENTO</w:t>
        <w:tab/>
        <w:t>2020CD-000164-PROVCM</w:t>
      </w:r>
    </w:p>
    <w:p>
      <w:pPr>
        <w:spacing w:before="159"/>
        <w:ind w:left="3920" w:right="4132" w:firstLine="0"/>
        <w:jc w:val="center"/>
        <w:rPr>
          <w:sz w:val="22"/>
        </w:rPr>
      </w:pPr>
      <w:r>
        <w:rPr>
          <w:sz w:val="22"/>
        </w:rPr>
        <w:t>Porta fusible para el Organismo de Investigación Judicial</w:t>
      </w:r>
    </w:p>
    <w:p>
      <w:pPr>
        <w:pStyle w:val="BodyText"/>
        <w:spacing w:before="3"/>
        <w:rPr>
          <w:b w:val="0"/>
          <w:sz w:val="15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01/04/2020 16:00:00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171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> </w:t>
      </w:r>
      <w:r>
        <w:rPr>
          <w:b/>
          <w:sz w:val="20"/>
          <w:u w:val="single"/>
        </w:rPr>
        <w:t>oferente:</w:t>
      </w:r>
    </w:p>
    <w:p>
      <w:pPr>
        <w:pStyle w:val="BodyText"/>
        <w:spacing w:before="10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3101326013 - Distribuidora Ferretécnica S.A.</w:t>
            </w:r>
          </w:p>
        </w:tc>
      </w:tr>
      <w:tr>
        <w:trPr>
          <w:trHeight w:val="543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ind w:right="198"/>
              <w:rPr>
                <w:sz w:val="20"/>
              </w:rPr>
            </w:pPr>
            <w:r>
              <w:rPr>
                <w:sz w:val="20"/>
              </w:rPr>
              <w:t>0105910007 - CARLOS MARTIN DE JESUS NAVARRO LOPEZ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CARLOS MARTIN DE JESUS NAVARRO</w:t>
            </w:r>
            <w:r>
              <w:rPr>
                <w:spacing w:val="51"/>
                <w:sz w:val="20"/>
              </w:rPr>
              <w:t> </w:t>
            </w:r>
            <w:r>
              <w:rPr>
                <w:sz w:val="20"/>
              </w:rPr>
              <w:t>LOPEZ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hyperlink r:id="rId7">
              <w:r>
                <w:rPr>
                  <w:sz w:val="20"/>
                </w:rPr>
                <w:t>felipe.villalobos@ferretecnica.com</w:t>
              </w:r>
            </w:hyperlink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22865255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>
        <w:trPr>
          <w:trHeight w:val="543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spacing w:before="29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spacing w:before="29"/>
              <w:ind w:right="198"/>
              <w:rPr>
                <w:sz w:val="20"/>
              </w:rPr>
            </w:pPr>
            <w:r>
              <w:rPr>
                <w:sz w:val="20"/>
              </w:rPr>
              <w:t>San José, Dos Ríos, Barrio Santa Marta y Griega, 100 este del Restaurante Jade</w:t>
            </w:r>
          </w:p>
        </w:tc>
      </w:tr>
    </w:tbl>
    <w:p>
      <w:pPr>
        <w:pStyle w:val="BodyText"/>
        <w:spacing w:before="3"/>
        <w:rPr>
          <w:sz w:val="25"/>
        </w:rPr>
      </w:pPr>
    </w:p>
    <w:p>
      <w:pPr>
        <w:pStyle w:val="BodyText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* Si la información que se muestra no es la correcta, por favor actualizarlos en el Registro de Proveedores.</w:t>
      </w:r>
    </w:p>
    <w:p>
      <w:pPr>
        <w:pStyle w:val="BodyText"/>
      </w:pPr>
    </w:p>
    <w:p>
      <w:pPr>
        <w:pStyle w:val="BodyText"/>
        <w:spacing w:before="8"/>
        <w:rPr>
          <w:sz w:val="18"/>
        </w:rPr>
      </w:pPr>
    </w:p>
    <w:p>
      <w:pPr>
        <w:pStyle w:val="ListParagraph"/>
        <w:numPr>
          <w:ilvl w:val="0"/>
          <w:numId w:val="1"/>
        </w:numPr>
        <w:tabs>
          <w:tab w:pos="399" w:val="left" w:leader="none"/>
        </w:tabs>
        <w:spacing w:line="240" w:lineRule="auto" w:before="1" w:after="0"/>
        <w:ind w:left="398" w:right="0" w:hanging="249"/>
        <w:jc w:val="left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1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¢270,000.00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>
      <w:pPr>
        <w:spacing w:after="0"/>
        <w:rPr>
          <w:sz w:val="20"/>
        </w:rPr>
        <w:sectPr>
          <w:headerReference w:type="default" r:id="rId5"/>
          <w:footerReference w:type="default" r:id="rId6"/>
          <w:type w:val="continuous"/>
          <w:pgSz w:w="14180" w:h="16840"/>
          <w:pgMar w:header="1664" w:footer="1557" w:top="4680" w:bottom="1740" w:left="740" w:right="2020"/>
          <w:pgNumType w:start="1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12/05/2020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NO HAY</w:t>
            </w:r>
          </w:p>
        </w:tc>
      </w:tr>
    </w:tbl>
    <w:p>
      <w:pPr>
        <w:pStyle w:val="BodyText"/>
        <w:spacing w:before="148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3. Oferta económica:</w:t>
      </w:r>
    </w:p>
    <w:p>
      <w:pPr>
        <w:pStyle w:val="BodyText"/>
        <w:spacing w:before="7"/>
      </w:pPr>
    </w:p>
    <w:tbl>
      <w:tblPr>
        <w:tblW w:w="0" w:type="auto"/>
        <w:jc w:val="left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6"/>
        <w:gridCol w:w="5386"/>
      </w:tblGrid>
      <w:tr>
        <w:trPr>
          <w:trHeight w:val="339" w:hRule="atLeast"/>
        </w:trPr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PORTA FUSIBLE</w:t>
            </w:r>
          </w:p>
        </w:tc>
        <w:tc>
          <w:tcPr>
            <w:tcW w:w="5386" w:type="dxa"/>
            <w:shd w:val="clear" w:color="auto" w:fill="4682B4"/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¢900.00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¢270,000.00</w:t>
            </w:r>
          </w:p>
        </w:tc>
      </w:tr>
      <w:tr>
        <w:trPr>
          <w:trHeight w:val="543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>
            <w:pPr>
              <w:pStyle w:val="TableParagraph"/>
              <w:ind w:left="40" w:right="299"/>
              <w:rPr>
                <w:sz w:val="20"/>
              </w:rPr>
            </w:pPr>
            <w:r>
              <w:rPr>
                <w:sz w:val="20"/>
              </w:rPr>
              <w:t>3 días hábiles después de recibido el pedido, sea vía fax, correo electrónico lo que ocurra primero.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3 Meses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  <w:tr>
        <w:trPr>
          <w:trHeight w:val="1995" w:hRule="atLeast"/>
        </w:trPr>
        <w:tc>
          <w:tcPr>
            <w:tcW w:w="5386" w:type="dxa"/>
          </w:tcPr>
          <w:p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</w:tcPr>
          <w:p>
            <w:pPr>
              <w:pStyle w:val="TableParagraph"/>
              <w:spacing w:before="29"/>
              <w:ind w:left="40"/>
              <w:rPr>
                <w:sz w:val="20"/>
              </w:rPr>
            </w:pPr>
            <w:r>
              <w:rPr>
                <w:sz w:val="20"/>
              </w:rPr>
              <w:t>Porta fusible</w:t>
            </w:r>
          </w:p>
          <w:p>
            <w:pPr>
              <w:pStyle w:val="TableParagraph"/>
              <w:spacing w:before="1"/>
              <w:ind w:left="40" w:right="548"/>
              <w:rPr>
                <w:sz w:val="20"/>
              </w:rPr>
            </w:pPr>
            <w:r>
              <w:rPr>
                <w:sz w:val="20"/>
              </w:rPr>
              <w:t>Porta Fusible Plástico (tipo ATC) para uso en sistemas eléctricos</w:t>
            </w: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automotrices</w:t>
            </w:r>
          </w:p>
          <w:p>
            <w:pPr>
              <w:pStyle w:val="TableParagraph"/>
              <w:spacing w:before="0"/>
              <w:ind w:left="40" w:right="1292"/>
              <w:rPr>
                <w:sz w:val="20"/>
              </w:rPr>
            </w:pPr>
            <w:r>
              <w:rPr>
                <w:sz w:val="20"/>
              </w:rPr>
              <w:t>Con cierre hermético (tapa) sin fusible Capacidad de carga 30 amperios a 12 voltios.</w:t>
            </w:r>
          </w:p>
          <w:p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sz w:val="20"/>
              </w:rPr>
              <w:t>MARCA: AUDIO ACCESORIOS S.A. MODELO: CQ-211C-12</w:t>
            </w:r>
          </w:p>
        </w:tc>
      </w:tr>
      <w:tr>
        <w:trPr>
          <w:trHeight w:val="339" w:hRule="atLeast"/>
        </w:trPr>
        <w:tc>
          <w:tcPr>
            <w:tcW w:w="5386" w:type="dxa"/>
          </w:tcPr>
          <w:p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</w:tcPr>
          <w:p>
            <w:pPr>
              <w:pStyle w:val="TableParagraph"/>
              <w:ind w:left="40"/>
              <w:rPr>
                <w:sz w:val="20"/>
              </w:rPr>
            </w:pPr>
            <w:r>
              <w:rPr>
                <w:sz w:val="20"/>
              </w:rPr>
              <w:t>NO HAY</w:t>
            </w:r>
          </w:p>
        </w:tc>
      </w:tr>
    </w:tbl>
    <w:p>
      <w:pPr>
        <w:pStyle w:val="BodyText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342" w:val="left" w:leader="none"/>
        </w:tabs>
        <w:spacing w:line="240" w:lineRule="auto" w:before="0" w:after="0"/>
        <w:ind w:left="341" w:right="0" w:hanging="192"/>
        <w:jc w:val="left"/>
        <w:rPr>
          <w:b/>
          <w:sz w:val="20"/>
        </w:rPr>
      </w:pPr>
      <w:r>
        <w:rPr>
          <w:b/>
          <w:sz w:val="20"/>
          <w:u w:val="single"/>
        </w:rPr>
        <w:t>Documentos adjuntos de la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oferta:</w:t>
      </w:r>
    </w:p>
    <w:p>
      <w:pPr>
        <w:pStyle w:val="BodyText"/>
        <w:spacing w:before="10"/>
        <w:rPr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ACCIONES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10-2020-52020CD-000164-PROVCM-1.pdf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CEDULA</w:t>
            </w:r>
          </w:p>
        </w:tc>
      </w:tr>
    </w:tbl>
    <w:p>
      <w:pPr>
        <w:spacing w:after="0"/>
        <w:rPr>
          <w:rFonts w:ascii="Arial"/>
          <w:sz w:val="20"/>
        </w:rPr>
        <w:sectPr>
          <w:pgSz w:w="14180" w:h="16840"/>
          <w:pgMar w:header="1664" w:footer="1557" w:top="4680" w:bottom="1740" w:left="740" w:right="2020"/>
        </w:sectPr>
      </w:pPr>
    </w:p>
    <w:p>
      <w:pPr>
        <w:pStyle w:val="BodyText"/>
        <w:spacing w:before="8"/>
        <w:rPr>
          <w:sz w:val="28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294" w:hRule="atLeast"/>
        </w:trPr>
        <w:tc>
          <w:tcPr>
            <w:tcW w:w="5381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10-2020-32020CD-000164-PROVCM-1.pdf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10-2020-12020CD-000164-PROVCM-1.pdf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FICHA TECNICA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10-2020-22020CD-000164-PROVCM-1.jpg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PERSONERIA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4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10-2020-62020CD-000164-PROVCM-1.pdf</w:t>
            </w:r>
          </w:p>
        </w:tc>
      </w:tr>
    </w:tbl>
    <w:p>
      <w:pPr>
        <w:pStyle w:val="BodyText"/>
        <w:spacing w:before="1"/>
        <w:rPr>
          <w:sz w:val="10"/>
        </w:rPr>
      </w:pPr>
    </w:p>
    <w:tbl>
      <w:tblPr>
        <w:tblW w:w="0" w:type="auto"/>
        <w:jc w:val="left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1"/>
        <w:gridCol w:w="5381"/>
      </w:tblGrid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>
        <w:trPr>
          <w:trHeight w:val="339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CEDULA JURIDICA</w:t>
            </w:r>
          </w:p>
        </w:tc>
      </w:tr>
      <w:tr>
        <w:trPr>
          <w:trHeight w:val="294" w:hRule="atLeast"/>
        </w:trPr>
        <w:tc>
          <w:tcPr>
            <w:tcW w:w="5381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23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t>10-2020-42020CD-000164-PROVCM-1.pdf</w:t>
            </w:r>
          </w:p>
        </w:tc>
      </w:tr>
    </w:tbl>
    <w:p>
      <w:pPr>
        <w:pStyle w:val="BodyText"/>
      </w:pPr>
    </w:p>
    <w:p>
      <w:pPr>
        <w:pStyle w:val="BodyText"/>
        <w:spacing w:before="7"/>
        <w:rPr>
          <w:sz w:val="17"/>
        </w:rPr>
      </w:pPr>
    </w:p>
    <w:p>
      <w:pPr>
        <w:pStyle w:val="BodyText"/>
        <w:spacing w:before="101"/>
        <w:ind w:left="150"/>
      </w:pPr>
      <w:r>
        <w:rPr>
          <w:rFonts w:ascii="Times New Roman" w:hAnsi="Times New Roman"/>
          <w:b w:val="0"/>
          <w:u w:val="single"/>
        </w:rPr>
        <w:t> </w:t>
      </w:r>
      <w:r>
        <w:rPr>
          <w:u w:val="single"/>
        </w:rPr>
        <w:t>Declaración Jurada: </w:t>
      </w:r>
    </w:p>
    <w:p>
      <w:pPr>
        <w:pStyle w:val="BodyText"/>
        <w:spacing w:before="183"/>
        <w:ind w:left="152"/>
      </w:pPr>
      <w:r>
        <w:rPr/>
        <w:t>Declaro bajo juramento: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448" w:hanging="408"/>
        <w:jc w:val="left"/>
        <w:rPr>
          <w:b/>
          <w:sz w:val="20"/>
        </w:rPr>
      </w:pPr>
      <w:r>
        <w:rPr>
          <w:b/>
          <w:sz w:val="20"/>
        </w:rPr>
        <w:t>Que mi representada (en caso de persona jurídica o física) se encuentra al día en el pago </w:t>
      </w:r>
      <w:r>
        <w:rPr>
          <w:b/>
          <w:spacing w:val="-9"/>
          <w:sz w:val="20"/>
        </w:rPr>
        <w:t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municipales.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376" w:hanging="408"/>
        <w:jc w:val="left"/>
        <w:rPr>
          <w:b/>
          <w:sz w:val="20"/>
        </w:rPr>
      </w:pPr>
      <w:r>
        <w:rPr>
          <w:b/>
          <w:sz w:val="20"/>
        </w:rPr>
        <w:t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Administrativa.</w:t>
      </w:r>
    </w:p>
    <w:p>
      <w:pPr>
        <w:pStyle w:val="ListParagraph"/>
        <w:numPr>
          <w:ilvl w:val="1"/>
          <w:numId w:val="2"/>
        </w:numPr>
        <w:tabs>
          <w:tab w:pos="753" w:val="left" w:leader="none"/>
        </w:tabs>
        <w:spacing w:line="240" w:lineRule="auto" w:before="1" w:after="0"/>
        <w:ind w:left="752" w:right="1362" w:hanging="408"/>
        <w:jc w:val="both"/>
        <w:rPr>
          <w:b/>
          <w:sz w:val="20"/>
        </w:rPr>
      </w:pPr>
      <w:r>
        <w:rPr>
          <w:b/>
          <w:sz w:val="20"/>
        </w:rPr>
        <w:t>Que mi representada (en caso de persona jurídica o física) no se encuentra inhabilitada para contratar con el sector público de conformidad con el artículo 100 y 100 BIS de la Ley de Contratación Administrativa.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0" w:after="0"/>
        <w:ind w:left="752" w:right="1186" w:hanging="408"/>
        <w:jc w:val="left"/>
        <w:rPr>
          <w:b/>
          <w:sz w:val="20"/>
        </w:rPr>
      </w:pPr>
      <w:r>
        <w:rPr>
          <w:b/>
          <w:sz w:val="20"/>
        </w:rPr>
        <w:t>Que las personas que ocupan cargos directivos o gerenciales, representantes, apoderados o apoderadas y los y las accionistas de esta empresa no se encuentran afectos por las incompatibilidades que indica el art. 18 de la "Ley Contra la Corrupción y el Enriquecimiento ilícito en la función Pública".</w:t>
      </w: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" w:after="0"/>
        <w:ind w:left="752" w:right="1377" w:hanging="408"/>
        <w:jc w:val="left"/>
        <w:rPr>
          <w:b/>
          <w:sz w:val="20"/>
        </w:rPr>
      </w:pPr>
      <w:r>
        <w:rPr>
          <w:b/>
          <w:sz w:val="20"/>
        </w:rPr>
        <w:t>Declaro que mi representada cuenta con la suficiente solvencia económica para atender </w:t>
      </w:r>
      <w:r>
        <w:rPr>
          <w:b/>
          <w:spacing w:val="-13"/>
          <w:sz w:val="20"/>
        </w:rPr>
        <w:t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> </w:t>
      </w:r>
      <w:r>
        <w:rPr>
          <w:b/>
          <w:sz w:val="20"/>
        </w:rPr>
        <w:t>adjudicataria.</w:t>
      </w:r>
    </w:p>
    <w:p>
      <w:pPr>
        <w:spacing w:after="0" w:line="240" w:lineRule="auto"/>
        <w:jc w:val="left"/>
        <w:rPr>
          <w:sz w:val="20"/>
        </w:rPr>
        <w:sectPr>
          <w:pgSz w:w="14180" w:h="16840"/>
          <w:pgMar w:header="1664" w:footer="1557" w:top="4680" w:bottom="1740" w:left="740" w:right="2020"/>
        </w:sectPr>
      </w:pPr>
    </w:p>
    <w:p>
      <w:pPr>
        <w:pStyle w:val="BodyText"/>
        <w:spacing w:before="5"/>
      </w:pPr>
    </w:p>
    <w:p>
      <w:pPr>
        <w:pStyle w:val="ListParagraph"/>
        <w:numPr>
          <w:ilvl w:val="1"/>
          <w:numId w:val="2"/>
        </w:numPr>
        <w:tabs>
          <w:tab w:pos="752" w:val="left" w:leader="none"/>
          <w:tab w:pos="753" w:val="left" w:leader="none"/>
        </w:tabs>
        <w:spacing w:line="240" w:lineRule="auto" w:before="100" w:after="0"/>
        <w:ind w:left="752" w:right="1199" w:hanging="408"/>
        <w:jc w:val="left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técnicos de esta contratación.</w:t>
      </w:r>
    </w:p>
    <w:sectPr>
      <w:pgSz w:w="14180" w:h="16840"/>
      <w:pgMar w:header="1664" w:footer="1557" w:top="4680" w:bottom="1740" w:left="740" w:right="2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ahoma">
    <w:altName w:val="Tahom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3.546001pt;margin-top:753.030762pt;width:35.75pt;height:10.95pt;mso-position-horizontal-relative:page;mso-position-vertical-relative:page;z-index:-252043264" type="#_x0000_t202" filled="false" stroked="false">
          <v:textbox inset="0,0,0,0">
            <w:txbxContent>
              <w:p>
                <w:pPr>
                  <w:tabs>
                    <w:tab w:pos="585" w:val="left" w:leader="none"/>
                  </w:tabs>
                  <w:spacing w:before="14"/>
                  <w:ind w:left="20" w:right="0" w:firstLine="0"/>
                  <w:jc w:val="left"/>
                  <w:rPr>
                    <w:rFonts w:ascii="Arial" w:hAnsi="Arial"/>
                    <w:b/>
                    <w:sz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  <w:tab/>
                </w:r>
                <w:r>
                  <w:rPr/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b w:val="0"/>
      </w:rPr>
    </w:pPr>
    <w:r>
      <w:rPr/>
      <w:drawing>
        <wp:anchor distT="0" distB="0" distL="0" distR="0" allowOverlap="1" layoutInCell="1" locked="0" behindDoc="1" simplePos="0" relativeHeight="251271168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line style="position:absolute;mso-position-horizontal-relative:page;mso-position-vertical-relative:page;z-index:-252044288" from="49.605999pt,233.875015pt" to="595.275999pt,233.875015pt" stroked="true" strokeweight="1pt" strokecolor="#000000">
          <v:stroke dashstyle="solid"/>
          <w10:wrap type="none"/>
        </v:lin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>
      <w:start w:val="1"/>
      <w:numFmt w:val="decimal"/>
      <w:lvlText w:val="%2."/>
      <w:lvlJc w:val="left"/>
      <w:pPr>
        <w:ind w:left="752" w:hanging="408"/>
        <w:jc w:val="left"/>
      </w:pPr>
      <w:rPr>
        <w:rFonts w:hint="default" w:ascii="Arial" w:hAnsi="Arial" w:eastAsia="Arial" w:cs="Arial"/>
        <w:spacing w:val="-9"/>
        <w:w w:val="100"/>
        <w:sz w:val="20"/>
        <w:szCs w:val="20"/>
        <w:lang w:val="es-ES" w:eastAsia="es-ES" w:bidi="es-ES"/>
      </w:rPr>
    </w:lvl>
    <w:lvl w:ilvl="2">
      <w:start w:val="0"/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b/>
      <w:bCs/>
      <w:sz w:val="20"/>
      <w:szCs w:val="20"/>
      <w:lang w:val="es-ES" w:eastAsia="es-ES" w:bidi="es-ES"/>
    </w:rPr>
  </w:style>
  <w:style w:styleId="ListParagraph" w:type="paragraph">
    <w:name w:val="List Paragraph"/>
    <w:basedOn w:val="Normal"/>
    <w:uiPriority w:val="1"/>
    <w:qFormat/>
    <w:pPr>
      <w:ind w:left="752" w:hanging="408"/>
    </w:pPr>
    <w:rPr>
      <w:rFonts w:ascii="Tahoma" w:hAnsi="Tahoma" w:eastAsia="Tahoma" w:cs="Tahoma"/>
      <w:lang w:val="es-ES" w:eastAsia="es-ES" w:bidi="es-ES"/>
    </w:rPr>
  </w:style>
  <w:style w:styleId="TableParagraph" w:type="paragraph">
    <w:name w:val="Table Paragraph"/>
    <w:basedOn w:val="Normal"/>
    <w:uiPriority w:val="1"/>
    <w:qFormat/>
    <w:pPr>
      <w:spacing w:before="30"/>
      <w:ind w:left="35"/>
    </w:pPr>
    <w:rPr>
      <w:rFonts w:ascii="Tahoma" w:hAnsi="Tahoma" w:eastAsia="Tahoma" w:cs="Tahoma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yperlink" Target="mailto:felipe.villalobos@ferretecnica.com" TargetMode="External"/><Relationship Id="rId8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terms:created xsi:type="dcterms:W3CDTF">2020-05-07T20:31:59Z</dcterms:created>
  <dcterms:modified xsi:type="dcterms:W3CDTF">2020-05-07T20:31:59Z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2020-03-31T00:00:00Z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2020-05-07T00:00:00Z</vt:filetime>
  </property>
</Properties>
</file>