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65" w:lineRule="exact"/>
        <w:ind w:left="0" w:right="107"/>
        <w:jc w:val="right"/>
        <w:rPr>
          <w:rFonts w:ascii="Times New Roman"/>
        </w:rPr>
      </w:pPr>
      <w:r>
        <w:rPr>
          <w:rFonts w:ascii="Times New Roman"/>
        </w:rPr>
        <w:t>Page 1 of 1</w:t>
      </w:r>
    </w:p>
    <w:p>
      <w:pPr>
        <w:pStyle w:val="BodyText"/>
        <w:spacing w:before="0"/>
        <w:ind w:left="0" w:firstLine="0"/>
        <w:rPr>
          <w:rFonts w:ascii="Times New Roman"/>
          <w:sz w:val="20"/>
        </w:rPr>
      </w:pPr>
    </w:p>
    <w:p>
      <w:pPr>
        <w:pStyle w:val="BodyText"/>
        <w:spacing w:before="0"/>
        <w:ind w:left="0" w:firstLine="0"/>
        <w:rPr>
          <w:rFonts w:ascii="Times New Roman"/>
          <w:sz w:val="20"/>
        </w:rPr>
      </w:pPr>
    </w:p>
    <w:p>
      <w:pPr>
        <w:pStyle w:val="BodyText"/>
        <w:spacing w:before="0"/>
        <w:ind w:left="0" w:firstLine="0"/>
        <w:rPr>
          <w:rFonts w:ascii="Times New Roman"/>
          <w:sz w:val="20"/>
        </w:rPr>
      </w:pPr>
    </w:p>
    <w:p>
      <w:pPr>
        <w:pStyle w:val="BodyText"/>
        <w:spacing w:before="1"/>
        <w:ind w:left="0" w:firstLine="0"/>
        <w:rPr>
          <w:rFonts w:ascii="Times New Roman"/>
          <w:sz w:val="28"/>
        </w:rPr>
      </w:pPr>
    </w:p>
    <w:p>
      <w:pPr>
        <w:pStyle w:val="Title"/>
        <w:spacing w:line="244" w:lineRule="auto"/>
        <w:rPr>
          <w:b w:val="0"/>
        </w:rPr>
      </w:pPr>
      <w:r>
        <w:rPr>
          <w:b w:val="0"/>
          <w:color w:val="31302F"/>
          <w:w w:val="110"/>
        </w:rPr>
        <w:t>Notificación</w:t>
      </w:r>
      <w:r>
        <w:rPr>
          <w:b w:val="0"/>
          <w:color w:val="31302F"/>
          <w:spacing w:val="-20"/>
          <w:w w:val="110"/>
        </w:rPr>
        <w:t> </w:t>
      </w:r>
      <w:r>
        <w:rPr>
          <w:b w:val="0"/>
          <w:color w:val="31302F"/>
          <w:w w:val="110"/>
        </w:rPr>
        <w:t>del</w:t>
      </w:r>
      <w:r>
        <w:rPr>
          <w:b w:val="0"/>
          <w:color w:val="31302F"/>
          <w:spacing w:val="-20"/>
          <w:w w:val="110"/>
        </w:rPr>
        <w:t> </w:t>
      </w:r>
      <w:r>
        <w:rPr>
          <w:b w:val="0"/>
          <w:color w:val="31302F"/>
          <w:w w:val="110"/>
        </w:rPr>
        <w:t>Acto</w:t>
      </w:r>
      <w:r>
        <w:rPr>
          <w:b w:val="0"/>
          <w:color w:val="31302F"/>
          <w:spacing w:val="-19"/>
          <w:w w:val="110"/>
        </w:rPr>
        <w:t> </w:t>
      </w:r>
      <w:r>
        <w:rPr>
          <w:b w:val="0"/>
          <w:color w:val="31302F"/>
          <w:w w:val="110"/>
        </w:rPr>
        <w:t>de</w:t>
      </w:r>
      <w:r>
        <w:rPr>
          <w:b w:val="0"/>
          <w:color w:val="31302F"/>
          <w:spacing w:val="-21"/>
          <w:w w:val="110"/>
        </w:rPr>
        <w:t> </w:t>
      </w:r>
      <w:r>
        <w:rPr>
          <w:b w:val="0"/>
          <w:color w:val="31302F"/>
          <w:w w:val="110"/>
        </w:rPr>
        <w:t>Adjudicación</w:t>
      </w:r>
      <w:r>
        <w:rPr>
          <w:b w:val="0"/>
          <w:color w:val="31302F"/>
          <w:spacing w:val="-20"/>
          <w:w w:val="110"/>
        </w:rPr>
        <w:t> </w:t>
      </w:r>
      <w:r>
        <w:rPr>
          <w:b w:val="0"/>
          <w:color w:val="31302F"/>
          <w:w w:val="110"/>
        </w:rPr>
        <w:t>para</w:t>
      </w:r>
      <w:r>
        <w:rPr>
          <w:b w:val="0"/>
          <w:color w:val="31302F"/>
          <w:spacing w:val="-21"/>
          <w:w w:val="110"/>
        </w:rPr>
        <w:t> </w:t>
      </w:r>
      <w:r>
        <w:rPr>
          <w:b w:val="0"/>
          <w:color w:val="31302F"/>
          <w:w w:val="110"/>
        </w:rPr>
        <w:t>el</w:t>
      </w:r>
      <w:r>
        <w:rPr>
          <w:b w:val="0"/>
          <w:color w:val="31302F"/>
          <w:spacing w:val="-20"/>
          <w:w w:val="110"/>
        </w:rPr>
        <w:t> </w:t>
      </w:r>
      <w:r>
        <w:rPr>
          <w:b w:val="0"/>
          <w:color w:val="31302F"/>
          <w:w w:val="110"/>
        </w:rPr>
        <w:t>Procedimiento</w:t>
      </w:r>
      <w:r>
        <w:rPr>
          <w:b w:val="0"/>
          <w:color w:val="31302F"/>
          <w:spacing w:val="-20"/>
          <w:w w:val="110"/>
        </w:rPr>
        <w:t> </w:t>
      </w:r>
      <w:r>
        <w:rPr>
          <w:b w:val="0"/>
          <w:color w:val="31302F"/>
          <w:w w:val="110"/>
        </w:rPr>
        <w:t>de Contratación N°</w:t>
      </w:r>
      <w:r>
        <w:rPr>
          <w:b w:val="0"/>
          <w:color w:val="31302F"/>
          <w:spacing w:val="-19"/>
          <w:w w:val="110"/>
        </w:rPr>
        <w:t> </w:t>
      </w:r>
      <w:r>
        <w:rPr>
          <w:b w:val="0"/>
          <w:color w:val="31302F"/>
          <w:w w:val="110"/>
        </w:rPr>
        <w:t>2020CD-000210-PROVCM.</w:t>
      </w:r>
    </w:p>
    <w:p>
      <w:pPr>
        <w:pStyle w:val="Heading1"/>
        <w:spacing w:before="175"/>
        <w:rPr>
          <w:rFonts w:ascii="Segoe UI" w:hAnsi="Segoe UI"/>
        </w:rPr>
      </w:pPr>
      <w:r>
        <w:rPr>
          <w:rFonts w:ascii="Segoe UI" w:hAnsi="Segoe UI"/>
        </w:rPr>
        <w:t>Dannia López Campos &lt;</w:t>
      </w:r>
      <w:hyperlink r:id="rId5">
        <w:r>
          <w:rPr>
            <w:rFonts w:ascii="Segoe UI" w:hAnsi="Segoe UI"/>
          </w:rPr>
          <w:t>dlopezc@Poder-Judicial.go.cr</w:t>
        </w:r>
      </w:hyperlink>
      <w:r>
        <w:rPr>
          <w:rFonts w:ascii="Segoe UI" w:hAnsi="Segoe UI"/>
        </w:rPr>
        <w:t>&gt;</w:t>
      </w:r>
    </w:p>
    <w:p>
      <w:pPr>
        <w:spacing w:before="45"/>
        <w:ind w:left="608" w:right="0" w:firstLine="0"/>
        <w:jc w:val="left"/>
        <w:rPr>
          <w:rFonts w:ascii="Segoe UI"/>
          <w:sz w:val="18"/>
        </w:rPr>
      </w:pPr>
      <w:r>
        <w:rPr>
          <w:rFonts w:ascii="Segoe UI"/>
          <w:color w:val="5F5D5B"/>
          <w:sz w:val="18"/>
        </w:rPr>
        <w:t>Lun 18/5/2020 09:21</w:t>
      </w:r>
    </w:p>
    <w:p>
      <w:pPr>
        <w:spacing w:before="75"/>
        <w:ind w:left="608" w:right="0" w:firstLine="0"/>
        <w:jc w:val="left"/>
        <w:rPr>
          <w:rFonts w:ascii="Segoe UI"/>
          <w:sz w:val="18"/>
        </w:rPr>
      </w:pPr>
      <w:r>
        <w:rPr>
          <w:rFonts w:ascii="Segoe UI Semilight"/>
          <w:b w:val="0"/>
          <w:sz w:val="18"/>
        </w:rPr>
        <w:t>Para: </w:t>
      </w:r>
      <w:r>
        <w:rPr>
          <w:rFonts w:ascii="Segoe UI"/>
          <w:sz w:val="18"/>
        </w:rPr>
        <w:t>Sepressa &lt;</w:t>
      </w:r>
      <w:hyperlink r:id="rId6">
        <w:r>
          <w:rPr>
            <w:rFonts w:ascii="Segoe UI"/>
            <w:sz w:val="18"/>
          </w:rPr>
          <w:t>sepresa@ice.co.cr</w:t>
        </w:r>
      </w:hyperlink>
      <w:r>
        <w:rPr>
          <w:rFonts w:ascii="Segoe UI"/>
          <w:sz w:val="18"/>
        </w:rPr>
        <w:t>&gt;; GYR VENTAS &lt;</w:t>
      </w:r>
      <w:hyperlink r:id="rId7">
        <w:r>
          <w:rPr>
            <w:rFonts w:ascii="Segoe UI"/>
            <w:sz w:val="18"/>
          </w:rPr>
          <w:t>gyrventas@ice.co.cr</w:t>
        </w:r>
      </w:hyperlink>
      <w:r>
        <w:rPr>
          <w:rFonts w:ascii="Segoe UI"/>
          <w:sz w:val="18"/>
        </w:rPr>
        <w:t>&gt;</w:t>
      </w:r>
    </w:p>
    <w:p>
      <w:pPr>
        <w:spacing w:before="1"/>
        <w:ind w:left="608" w:right="0" w:firstLine="0"/>
        <w:jc w:val="left"/>
        <w:rPr>
          <w:rFonts w:ascii="Segoe UI" w:hAnsi="Segoe UI"/>
          <w:sz w:val="18"/>
        </w:rPr>
      </w:pPr>
      <w:r>
        <w:rPr>
          <w:rFonts w:ascii="Segoe UI Semilight" w:hAnsi="Segoe UI Semilight"/>
          <w:b w:val="0"/>
          <w:sz w:val="18"/>
        </w:rPr>
        <w:t>CC: </w:t>
      </w:r>
      <w:r>
        <w:rPr>
          <w:rFonts w:ascii="Segoe UI" w:hAnsi="Segoe UI"/>
          <w:sz w:val="18"/>
        </w:rPr>
        <w:t>Karol Jiménez Rojas &lt;</w:t>
      </w:r>
      <w:hyperlink r:id="rId8">
        <w:r>
          <w:rPr>
            <w:rFonts w:ascii="Segoe UI" w:hAnsi="Segoe UI"/>
            <w:sz w:val="18"/>
          </w:rPr>
          <w:t>kjimenezr@Poder-Judicial.go.cr</w:t>
        </w:r>
      </w:hyperlink>
      <w:r>
        <w:rPr>
          <w:rFonts w:ascii="Segoe UI" w:hAnsi="Segoe UI"/>
          <w:sz w:val="18"/>
        </w:rPr>
        <w:t>&gt;</w:t>
      </w:r>
    </w:p>
    <w:p>
      <w:pPr>
        <w:pStyle w:val="BodyText"/>
        <w:spacing w:before="3"/>
        <w:ind w:left="0" w:firstLine="0"/>
        <w:rPr>
          <w:rFonts w:ascii="Segoe UI"/>
          <w:sz w:val="17"/>
        </w:rPr>
      </w:pPr>
    </w:p>
    <w:p>
      <w:pPr>
        <w:spacing w:before="100"/>
        <w:ind w:left="611" w:right="0" w:firstLine="0"/>
        <w:jc w:val="left"/>
        <w:rPr>
          <w:rFonts w:ascii="Segoe UI"/>
          <w:sz w:val="18"/>
        </w:rPr>
      </w:pPr>
      <w:r>
        <w:rPr>
          <w:position w:val="-1"/>
        </w:rPr>
        <w:drawing>
          <wp:inline distT="0" distB="0" distL="0" distR="0">
            <wp:extent cx="60959" cy="131064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9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rFonts w:ascii="Times New Roman"/>
          <w:sz w:val="20"/>
        </w:rPr>
        <w:t> </w:t>
      </w:r>
      <w:r>
        <w:rPr>
          <w:rFonts w:ascii="Times New Roman"/>
          <w:spacing w:val="10"/>
          <w:sz w:val="20"/>
        </w:rPr>
        <w:t> </w:t>
      </w:r>
      <w:r>
        <w:rPr>
          <w:rFonts w:ascii="Segoe UI"/>
          <w:color w:val="5F5D5B"/>
          <w:sz w:val="18"/>
        </w:rPr>
        <w:t>1 archivos adjuntos (214</w:t>
      </w:r>
      <w:r>
        <w:rPr>
          <w:rFonts w:ascii="Segoe UI"/>
          <w:color w:val="5F5D5B"/>
          <w:spacing w:val="-4"/>
          <w:sz w:val="18"/>
        </w:rPr>
        <w:t> </w:t>
      </w:r>
      <w:r>
        <w:rPr>
          <w:rFonts w:ascii="Segoe UI"/>
          <w:color w:val="5F5D5B"/>
          <w:sz w:val="18"/>
        </w:rPr>
        <w:t>KB)</w:t>
      </w:r>
    </w:p>
    <w:p>
      <w:pPr>
        <w:spacing w:before="75"/>
        <w:ind w:left="608" w:right="0" w:firstLine="0"/>
        <w:jc w:val="left"/>
        <w:rPr>
          <w:rFonts w:ascii="Segoe UI" w:hAnsi="Segoe UI"/>
          <w:sz w:val="18"/>
        </w:rPr>
      </w:pPr>
      <w:r>
        <w:rPr>
          <w:rFonts w:ascii="Segoe UI" w:hAnsi="Segoe UI"/>
          <w:color w:val="31302F"/>
          <w:sz w:val="18"/>
        </w:rPr>
        <w:t>1- Resolución 00296-CM-2020.pdf;</w:t>
      </w:r>
    </w:p>
    <w:p>
      <w:pPr>
        <w:pStyle w:val="BodyText"/>
        <w:spacing w:before="7"/>
        <w:ind w:left="0" w:firstLine="0"/>
        <w:rPr>
          <w:rFonts w:ascii="Segoe UI"/>
        </w:rPr>
      </w:pPr>
    </w:p>
    <w:p>
      <w:pPr>
        <w:pStyle w:val="Heading1"/>
        <w:spacing w:before="1"/>
        <w:ind w:right="776"/>
        <w:rPr>
          <w:b w:val="0"/>
        </w:rPr>
      </w:pPr>
      <w:r>
        <w:rPr>
          <w:b w:val="0"/>
          <w:color w:val="002350"/>
        </w:rPr>
        <w:t>Notificación del Acto de Adjudicación para el Procedimiento de Contratación N° 2020CD- 000210-PROVCM.</w:t>
      </w:r>
    </w:p>
    <w:p>
      <w:pPr>
        <w:pStyle w:val="BodyText"/>
        <w:spacing w:before="12"/>
        <w:ind w:left="0" w:firstLine="0"/>
        <w:rPr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1007363</wp:posOffset>
            </wp:positionH>
            <wp:positionV relativeFrom="paragraph">
              <wp:posOffset>187530</wp:posOffset>
            </wp:positionV>
            <wp:extent cx="5505061" cy="1146048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5061" cy="1146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pStyle w:val="BodyText"/>
        <w:spacing w:before="0"/>
        <w:ind w:left="0" w:firstLine="0"/>
        <w:rPr>
          <w:b w:val="0"/>
          <w:sz w:val="20"/>
        </w:rPr>
      </w:pPr>
    </w:p>
    <w:p>
      <w:pPr>
        <w:tabs>
          <w:tab w:pos="8859" w:val="left" w:leader="none"/>
        </w:tabs>
        <w:spacing w:before="220"/>
        <w:ind w:left="100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https://outlook.office365.com/mail/inbox/id/AAQkADY4NzY0ZTM5LTBhMTItNDd...</w:t>
        <w:tab/>
        <w:t>18/5/2020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00" w:h="16840"/>
          <w:pgMar w:top="0" w:bottom="0" w:left="980" w:right="980"/>
        </w:sectPr>
      </w:pPr>
    </w:p>
    <w:p>
      <w:pPr>
        <w:pStyle w:val="BodyText"/>
        <w:tabs>
          <w:tab w:pos="672" w:val="left" w:leader="none"/>
        </w:tabs>
        <w:spacing w:before="72"/>
        <w:ind w:left="212" w:firstLine="0"/>
        <w:rPr>
          <w:b w:val="0"/>
          <w:i/>
        </w:rPr>
      </w:pPr>
      <w:r>
        <w:rPr>
          <w:rFonts w:ascii="Times New Roman"/>
          <w:sz w:val="20"/>
        </w:rPr>
        <w:t>1</w:t>
        <w:tab/>
      </w:r>
      <w:r>
        <w:rPr>
          <w:b w:val="0"/>
        </w:rPr>
        <w:t>****************************************************************************************</w:t>
      </w:r>
      <w:r>
        <w:rPr>
          <w:b w:val="0"/>
          <w:i/>
        </w:rPr>
        <w:t> </w:t>
      </w:r>
    </w:p>
    <w:p>
      <w:pPr>
        <w:pStyle w:val="ListParagraph"/>
        <w:numPr>
          <w:ilvl w:val="0"/>
          <w:numId w:val="1"/>
        </w:numPr>
        <w:tabs>
          <w:tab w:pos="4156" w:val="left" w:leader="none"/>
          <w:tab w:pos="4157" w:val="left" w:leader="none"/>
        </w:tabs>
        <w:spacing w:line="240" w:lineRule="auto" w:before="41" w:after="0"/>
        <w:ind w:left="4156" w:right="0" w:hanging="3945"/>
        <w:jc w:val="left"/>
        <w:rPr>
          <w:b w:val="0"/>
          <w:i/>
          <w:sz w:val="22"/>
        </w:rPr>
      </w:pPr>
      <w:r>
        <w:rPr>
          <w:b w:val="0"/>
          <w:sz w:val="22"/>
        </w:rPr>
        <w:t>Resolución N°</w:t>
      </w:r>
      <w:r>
        <w:rPr>
          <w:b w:val="0"/>
          <w:spacing w:val="-3"/>
          <w:sz w:val="22"/>
        </w:rPr>
        <w:t> </w:t>
      </w:r>
      <w:r>
        <w:rPr>
          <w:b w:val="0"/>
          <w:sz w:val="22"/>
        </w:rPr>
        <w:t>00296-CM-2020</w:t>
      </w:r>
      <w:r>
        <w:rPr>
          <w:b w:val="0"/>
          <w:i/>
          <w:sz w:val="22"/>
        </w:rPr>
        <w:t> 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1"/>
        <w:jc w:val="left"/>
        <w:rPr>
          <w:b w:val="0"/>
          <w:i/>
          <w:sz w:val="22"/>
        </w:rPr>
      </w:pPr>
      <w:r>
        <w:rPr>
          <w:b w:val="0"/>
          <w:sz w:val="22"/>
        </w:rPr>
        <w:t>San José, a las diez horas del quince de mayo de dos mil</w:t>
      </w:r>
      <w:r>
        <w:rPr>
          <w:b w:val="0"/>
          <w:spacing w:val="-9"/>
          <w:sz w:val="22"/>
        </w:rPr>
        <w:t> </w:t>
      </w:r>
      <w:r>
        <w:rPr>
          <w:b w:val="0"/>
          <w:sz w:val="22"/>
        </w:rPr>
        <w:t>veinte.</w:t>
      </w:r>
      <w:r>
        <w:rPr>
          <w:b w:val="0"/>
          <w:i/>
          <w:sz w:val="22"/>
        </w:rPr>
        <w:t> 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2"/>
        <w:jc w:val="left"/>
        <w:rPr>
          <w:b w:val="0"/>
          <w:sz w:val="22"/>
        </w:rPr>
      </w:pPr>
      <w:r>
        <w:rPr>
          <w:b w:val="0"/>
          <w:sz w:val="22"/>
        </w:rPr>
        <w:t>De 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conformidad 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con </w:t>
      </w:r>
      <w:r>
        <w:rPr>
          <w:b w:val="0"/>
          <w:spacing w:val="22"/>
          <w:sz w:val="22"/>
        </w:rPr>
        <w:t> </w:t>
      </w:r>
      <w:r>
        <w:rPr>
          <w:b w:val="0"/>
          <w:sz w:val="22"/>
        </w:rPr>
        <w:t>lo </w:t>
      </w:r>
      <w:r>
        <w:rPr>
          <w:b w:val="0"/>
          <w:spacing w:val="22"/>
          <w:sz w:val="22"/>
        </w:rPr>
        <w:t> </w:t>
      </w:r>
      <w:r>
        <w:rPr>
          <w:b w:val="0"/>
          <w:sz w:val="22"/>
        </w:rPr>
        <w:t>establecido </w:t>
      </w:r>
      <w:r>
        <w:rPr>
          <w:b w:val="0"/>
          <w:spacing w:val="22"/>
          <w:sz w:val="22"/>
        </w:rPr>
        <w:t> </w:t>
      </w:r>
      <w:r>
        <w:rPr>
          <w:b w:val="0"/>
          <w:sz w:val="22"/>
        </w:rPr>
        <w:t>en </w:t>
      </w:r>
      <w:r>
        <w:rPr>
          <w:b w:val="0"/>
          <w:spacing w:val="21"/>
          <w:sz w:val="22"/>
        </w:rPr>
        <w:t> </w:t>
      </w:r>
      <w:r>
        <w:rPr>
          <w:b w:val="0"/>
          <w:sz w:val="22"/>
        </w:rPr>
        <w:t>el 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artículo </w:t>
      </w:r>
      <w:r>
        <w:rPr>
          <w:b w:val="0"/>
          <w:spacing w:val="21"/>
          <w:sz w:val="22"/>
        </w:rPr>
        <w:t> </w:t>
      </w:r>
      <w:r>
        <w:rPr>
          <w:b w:val="0"/>
          <w:sz w:val="22"/>
        </w:rPr>
        <w:t>No. 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2, 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inciso </w:t>
      </w:r>
      <w:r>
        <w:rPr>
          <w:b w:val="0"/>
          <w:spacing w:val="21"/>
          <w:sz w:val="22"/>
        </w:rPr>
        <w:t> </w:t>
      </w:r>
      <w:r>
        <w:rPr>
          <w:b w:val="0"/>
          <w:spacing w:val="3"/>
          <w:sz w:val="22"/>
        </w:rPr>
        <w:t>h) </w:t>
      </w:r>
      <w:r>
        <w:rPr>
          <w:b w:val="0"/>
          <w:spacing w:val="20"/>
          <w:sz w:val="22"/>
        </w:rPr>
        <w:t> </w:t>
      </w:r>
      <w:r>
        <w:rPr>
          <w:b w:val="0"/>
          <w:sz w:val="22"/>
        </w:rPr>
        <w:t>y 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27 </w:t>
      </w:r>
      <w:r>
        <w:rPr>
          <w:b w:val="0"/>
          <w:spacing w:val="20"/>
          <w:sz w:val="22"/>
        </w:rPr>
        <w:t> </w:t>
      </w:r>
      <w:r>
        <w:rPr>
          <w:b w:val="0"/>
          <w:sz w:val="22"/>
        </w:rPr>
        <w:t>de 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la </w:t>
      </w:r>
      <w:r>
        <w:rPr>
          <w:b w:val="0"/>
          <w:spacing w:val="21"/>
          <w:sz w:val="22"/>
        </w:rPr>
        <w:t> </w:t>
      </w:r>
      <w:r>
        <w:rPr>
          <w:b w:val="0"/>
          <w:sz w:val="22"/>
        </w:rPr>
        <w:t>Ley 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de 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Contratación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462"/>
        <w:jc w:val="left"/>
        <w:rPr>
          <w:b w:val="0"/>
          <w:sz w:val="22"/>
        </w:rPr>
      </w:pPr>
      <w:r>
        <w:rPr>
          <w:b w:val="0"/>
          <w:sz w:val="22"/>
        </w:rPr>
        <w:t>Administrativa, así como el artículo No. 86 y 144, del Reglamento a la Ley de Contratación Administrativa, y</w:t>
      </w:r>
      <w:r>
        <w:rPr>
          <w:b w:val="0"/>
          <w:spacing w:val="-6"/>
          <w:sz w:val="22"/>
        </w:rPr>
        <w:t> </w:t>
      </w:r>
      <w:r>
        <w:rPr>
          <w:b w:val="0"/>
          <w:sz w:val="22"/>
        </w:rPr>
        <w:t>la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2"/>
        <w:jc w:val="left"/>
        <w:rPr>
          <w:b w:val="0"/>
          <w:sz w:val="22"/>
        </w:rPr>
      </w:pPr>
      <w:r>
        <w:rPr>
          <w:b w:val="0"/>
          <w:sz w:val="22"/>
        </w:rPr>
        <w:t>autorización para adjudicar las contrataciones directas, otorgada por el Consejo Superior al Departamento</w:t>
      </w:r>
      <w:r>
        <w:rPr>
          <w:b w:val="0"/>
          <w:spacing w:val="-11"/>
          <w:sz w:val="22"/>
        </w:rPr>
        <w:t> </w:t>
      </w:r>
      <w:r>
        <w:rPr>
          <w:b w:val="0"/>
          <w:sz w:val="22"/>
        </w:rPr>
        <w:t>de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1"/>
        <w:jc w:val="left"/>
        <w:rPr>
          <w:b w:val="0"/>
          <w:sz w:val="22"/>
        </w:rPr>
      </w:pPr>
      <w:r>
        <w:rPr>
          <w:b w:val="0"/>
          <w:sz w:val="22"/>
        </w:rPr>
        <w:t>Proveeduría,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sesión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No.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23-05,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vista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43"/>
          <w:sz w:val="22"/>
        </w:rPr>
        <w:t> </w:t>
      </w:r>
      <w:r>
        <w:rPr>
          <w:b w:val="0"/>
          <w:sz w:val="22"/>
        </w:rPr>
        <w:t>los</w:t>
      </w:r>
      <w:r>
        <w:rPr>
          <w:b w:val="0"/>
          <w:spacing w:val="43"/>
          <w:sz w:val="22"/>
        </w:rPr>
        <w:t> </w:t>
      </w:r>
      <w:r>
        <w:rPr>
          <w:b w:val="0"/>
          <w:sz w:val="22"/>
        </w:rPr>
        <w:t>antecedentes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constan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expediente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2"/>
          <w:sz w:val="22"/>
        </w:rPr>
        <w:t> </w:t>
      </w:r>
      <w:r>
        <w:rPr>
          <w:b w:val="0"/>
          <w:sz w:val="22"/>
        </w:rPr>
        <w:t>la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461"/>
        <w:jc w:val="left"/>
        <w:rPr>
          <w:b w:val="0"/>
          <w:sz w:val="22"/>
        </w:rPr>
      </w:pPr>
      <w:r>
        <w:rPr>
          <w:b w:val="0"/>
          <w:sz w:val="22"/>
        </w:rPr>
        <w:t>Contratación    Directa    No.    2020CD-000210-PROVCM    (Requisición    No.    002228-SR-2020,  </w:t>
      </w:r>
      <w:r>
        <w:rPr>
          <w:b w:val="0"/>
          <w:spacing w:val="2"/>
          <w:sz w:val="22"/>
        </w:rPr>
        <w:t> </w:t>
      </w:r>
      <w:r>
        <w:rPr>
          <w:b w:val="0"/>
          <w:sz w:val="22"/>
        </w:rPr>
        <w:t>Requisición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1"/>
        <w:jc w:val="left"/>
        <w:rPr>
          <w:b w:val="0"/>
          <w:sz w:val="22"/>
        </w:rPr>
      </w:pPr>
      <w:r>
        <w:rPr>
          <w:b w:val="0"/>
          <w:sz w:val="22"/>
        </w:rPr>
        <w:t>complementaria 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002994-SR-2020), 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denominada: 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“Puller 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para 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la 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Administración 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del 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OIJ” 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según 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criterio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técnico emitido por la señora Paola Yépez Cordero de la Sección Especializada Contra el Crimen Organizado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y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remitido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por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señora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Karol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Jiménez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Rojas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Administración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OIJ,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mediante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correo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electrónico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28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de abril de 2020 y 11 de mayo de 2020, se</w:t>
      </w:r>
      <w:r>
        <w:rPr>
          <w:b w:val="0"/>
          <w:spacing w:val="-8"/>
          <w:sz w:val="22"/>
        </w:rPr>
        <w:t> </w:t>
      </w:r>
      <w:r>
        <w:rPr>
          <w:b w:val="0"/>
          <w:sz w:val="22"/>
        </w:rPr>
        <w:t>concluye: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Análisis y</w:t>
      </w:r>
      <w:r>
        <w:rPr>
          <w:b w:val="0"/>
          <w:spacing w:val="-2"/>
          <w:sz w:val="22"/>
        </w:rPr>
        <w:t> </w:t>
      </w:r>
      <w:r>
        <w:rPr>
          <w:b w:val="0"/>
          <w:sz w:val="22"/>
        </w:rPr>
        <w:t>Valoración: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En</w:t>
      </w:r>
      <w:r>
        <w:rPr>
          <w:b w:val="0"/>
          <w:spacing w:val="42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presente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contratación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se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tiene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como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primer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resultado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promoción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este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procedimiento,</w:t>
      </w:r>
      <w:r>
        <w:rPr>
          <w:b w:val="0"/>
          <w:spacing w:val="43"/>
          <w:sz w:val="22"/>
        </w:rPr>
        <w:t> </w:t>
      </w:r>
      <w:r>
        <w:rPr>
          <w:b w:val="0"/>
          <w:sz w:val="22"/>
        </w:rPr>
        <w:t>la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participación de dos oferentes: Oferta N° 1 Servicios de Precisión SEPRESSA S.A. cedula jurídica 3-101-148139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Oferta N°2, G y R Grupo Asesor S. A. cédula jurídica</w:t>
      </w:r>
      <w:r>
        <w:rPr>
          <w:b w:val="0"/>
          <w:spacing w:val="-12"/>
          <w:sz w:val="22"/>
        </w:rPr>
        <w:t> </w:t>
      </w:r>
      <w:r>
        <w:rPr>
          <w:b w:val="0"/>
          <w:sz w:val="22"/>
        </w:rPr>
        <w:t>3-101-576808.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Para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valorar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razonabilidad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precio,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oficina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aporta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un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estudio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mercado,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realizado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20"/>
          <w:sz w:val="22"/>
        </w:rPr>
        <w:t> </w:t>
      </w:r>
      <w:r>
        <w:rPr>
          <w:b w:val="0"/>
          <w:sz w:val="22"/>
        </w:rPr>
        <w:t>2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diferentes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empresas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venden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28"/>
          <w:sz w:val="22"/>
        </w:rPr>
        <w:t> </w:t>
      </w:r>
      <w:r>
        <w:rPr>
          <w:b w:val="0"/>
          <w:sz w:val="22"/>
        </w:rPr>
        <w:t>artículo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requerido,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establecen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un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precio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promedio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28"/>
          <w:sz w:val="22"/>
        </w:rPr>
        <w:t> </w:t>
      </w:r>
      <w:r>
        <w:rPr>
          <w:b w:val="0"/>
          <w:sz w:val="22"/>
        </w:rPr>
        <w:t>mercado,</w:t>
      </w:r>
      <w:r>
        <w:rPr>
          <w:b w:val="0"/>
          <w:spacing w:val="30"/>
          <w:sz w:val="22"/>
        </w:rPr>
        <w:t> </w:t>
      </w:r>
      <w:r>
        <w:rPr>
          <w:b w:val="0"/>
          <w:sz w:val="22"/>
        </w:rPr>
        <w:t>además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un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margen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tolerancia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+/-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25%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para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considerar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si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fuera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esos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porcentajes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"/>
          <w:sz w:val="22"/>
        </w:rPr>
        <w:t> </w:t>
      </w:r>
      <w:r>
        <w:rPr>
          <w:b w:val="0"/>
          <w:sz w:val="22"/>
        </w:rPr>
        <w:t>oferta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es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ruinosa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o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excesiva,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42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tal como se muestra es la siguiente</w:t>
      </w:r>
      <w:r>
        <w:rPr>
          <w:b w:val="0"/>
          <w:spacing w:val="-7"/>
          <w:sz w:val="22"/>
        </w:rPr>
        <w:t> </w:t>
      </w:r>
      <w:r>
        <w:rPr>
          <w:b w:val="0"/>
          <w:sz w:val="22"/>
        </w:rPr>
        <w:t>tabla:</w:t>
      </w:r>
    </w:p>
    <w:tbl>
      <w:tblPr>
        <w:tblW w:w="0" w:type="auto"/>
        <w:jc w:val="left"/>
        <w:tblInd w:w="2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1"/>
        <w:gridCol w:w="1658"/>
        <w:gridCol w:w="1541"/>
        <w:gridCol w:w="1531"/>
      </w:tblGrid>
      <w:tr>
        <w:trPr>
          <w:trHeight w:val="479" w:hRule="atLeast"/>
        </w:trPr>
        <w:tc>
          <w:tcPr>
            <w:tcW w:w="1661" w:type="dxa"/>
          </w:tcPr>
          <w:p>
            <w:pPr>
              <w:pStyle w:val="TableParagraph"/>
              <w:spacing w:line="268" w:lineRule="exact"/>
              <w:ind w:left="578" w:right="564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Línea</w:t>
            </w:r>
          </w:p>
        </w:tc>
        <w:tc>
          <w:tcPr>
            <w:tcW w:w="1658" w:type="dxa"/>
          </w:tcPr>
          <w:p>
            <w:pPr>
              <w:pStyle w:val="TableParagraph"/>
              <w:spacing w:before="85"/>
              <w:ind w:left="77" w:right="65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Precio Promedio</w:t>
            </w:r>
          </w:p>
        </w:tc>
        <w:tc>
          <w:tcPr>
            <w:tcW w:w="1541" w:type="dxa"/>
          </w:tcPr>
          <w:p>
            <w:pPr>
              <w:pStyle w:val="TableParagraph"/>
              <w:spacing w:before="85"/>
              <w:ind w:left="196" w:right="183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+25%</w:t>
            </w:r>
          </w:p>
        </w:tc>
        <w:tc>
          <w:tcPr>
            <w:tcW w:w="1531" w:type="dxa"/>
          </w:tcPr>
          <w:p>
            <w:pPr>
              <w:pStyle w:val="TableParagraph"/>
              <w:spacing w:before="85"/>
              <w:ind w:left="192" w:right="177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-25%</w:t>
            </w:r>
          </w:p>
        </w:tc>
      </w:tr>
      <w:tr>
        <w:trPr>
          <w:trHeight w:val="390" w:hRule="atLeast"/>
        </w:trPr>
        <w:tc>
          <w:tcPr>
            <w:tcW w:w="1661" w:type="dxa"/>
          </w:tcPr>
          <w:p>
            <w:pPr>
              <w:pStyle w:val="TableParagraph"/>
              <w:spacing w:line="268" w:lineRule="exact"/>
              <w:ind w:left="10"/>
              <w:jc w:val="center"/>
              <w:rPr>
                <w:b w:val="0"/>
                <w:sz w:val="22"/>
              </w:rPr>
            </w:pPr>
            <w:r>
              <w:rPr>
                <w:b w:val="0"/>
                <w:w w:val="100"/>
                <w:sz w:val="22"/>
              </w:rPr>
              <w:t>1</w:t>
            </w:r>
          </w:p>
        </w:tc>
        <w:tc>
          <w:tcPr>
            <w:tcW w:w="1658" w:type="dxa"/>
          </w:tcPr>
          <w:p>
            <w:pPr>
              <w:pStyle w:val="TableParagraph"/>
              <w:spacing w:before="40"/>
              <w:ind w:left="74" w:right="65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¢240.972.50</w:t>
            </w:r>
          </w:p>
        </w:tc>
        <w:tc>
          <w:tcPr>
            <w:tcW w:w="1541" w:type="dxa"/>
          </w:tcPr>
          <w:p>
            <w:pPr>
              <w:pStyle w:val="TableParagraph"/>
              <w:spacing w:before="40"/>
              <w:ind w:left="196" w:right="185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¢301.215.63</w:t>
            </w:r>
          </w:p>
        </w:tc>
        <w:tc>
          <w:tcPr>
            <w:tcW w:w="1531" w:type="dxa"/>
          </w:tcPr>
          <w:p>
            <w:pPr>
              <w:pStyle w:val="TableParagraph"/>
              <w:spacing w:before="40"/>
              <w:ind w:left="192" w:right="179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¢180.729.38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0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En este apartado se analizarán las prevenciones cursadas y el criterio técnico emitido por</w:t>
      </w:r>
      <w:r>
        <w:rPr>
          <w:b w:val="0"/>
          <w:spacing w:val="42"/>
          <w:sz w:val="22"/>
        </w:rPr>
        <w:t> </w:t>
      </w:r>
      <w:r>
        <w:rPr>
          <w:b w:val="0"/>
          <w:sz w:val="22"/>
        </w:rPr>
        <w:t>Sección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Especializada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Contra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Crimen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Organizado,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para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cada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uno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los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oferentes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participaron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esta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contratación, en virtud de lo anterior, se desprende lo</w:t>
      </w:r>
      <w:r>
        <w:rPr>
          <w:b w:val="0"/>
          <w:spacing w:val="-7"/>
          <w:sz w:val="22"/>
        </w:rPr>
        <w:t> </w:t>
      </w:r>
      <w:r>
        <w:rPr>
          <w:b w:val="0"/>
          <w:sz w:val="22"/>
        </w:rPr>
        <w:t>siguiente: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Oferta N° 1 Servicios de Precisión SEPRESSA S.A.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En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valoración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cumplimiento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pago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las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obligaciones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Seguridad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Social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Tributarias,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a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través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de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las</w:t>
      </w:r>
      <w:r>
        <w:rPr>
          <w:b w:val="0"/>
          <w:spacing w:val="37"/>
          <w:sz w:val="22"/>
        </w:rPr>
        <w:t> </w:t>
      </w:r>
      <w:r>
        <w:rPr>
          <w:b w:val="0"/>
          <w:sz w:val="22"/>
        </w:rPr>
        <w:t>direcciones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web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autorizadas</w:t>
      </w:r>
      <w:r>
        <w:rPr>
          <w:b w:val="0"/>
          <w:spacing w:val="37"/>
          <w:sz w:val="22"/>
        </w:rPr>
        <w:t> </w:t>
      </w:r>
      <w:r>
        <w:rPr>
          <w:b w:val="0"/>
          <w:sz w:val="22"/>
        </w:rPr>
        <w:t>por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Caja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Costarricense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Seguro</w:t>
      </w:r>
      <w:r>
        <w:rPr>
          <w:b w:val="0"/>
          <w:spacing w:val="34"/>
          <w:sz w:val="22"/>
        </w:rPr>
        <w:t> </w:t>
      </w:r>
      <w:r>
        <w:rPr>
          <w:b w:val="0"/>
          <w:sz w:val="22"/>
        </w:rPr>
        <w:t>Social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Ministerio</w:t>
      </w:r>
      <w:r>
        <w:rPr>
          <w:b w:val="0"/>
          <w:spacing w:val="37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Hacienda,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se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comprueba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37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fecha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apertura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37"/>
          <w:sz w:val="22"/>
        </w:rPr>
        <w:t> </w:t>
      </w:r>
      <w:r>
        <w:rPr>
          <w:b w:val="0"/>
          <w:sz w:val="22"/>
        </w:rPr>
        <w:t>ofertas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oferente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se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encuentra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moroso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ante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Ministerio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de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Hacienda, visible en el expediente electrónico, archivo denominado Consulta CCSS, FODESAF y M.H. del 24</w:t>
      </w:r>
      <w:r>
        <w:rPr>
          <w:b w:val="0"/>
          <w:spacing w:val="-18"/>
          <w:sz w:val="22"/>
        </w:rPr>
        <w:t> </w:t>
      </w:r>
      <w:r>
        <w:rPr>
          <w:b w:val="0"/>
          <w:sz w:val="22"/>
        </w:rPr>
        <w:t>de</w:t>
      </w:r>
    </w:p>
    <w:p>
      <w:pPr>
        <w:pStyle w:val="BodyText"/>
        <w:tabs>
          <w:tab w:pos="672" w:val="left" w:leader="none"/>
        </w:tabs>
        <w:spacing w:before="38"/>
        <w:ind w:left="111" w:firstLine="0"/>
        <w:rPr>
          <w:b w:val="0"/>
        </w:rPr>
      </w:pPr>
      <w:r>
        <w:rPr>
          <w:rFonts w:ascii="Times New Roman" w:hAnsi="Times New Roman"/>
          <w:sz w:val="20"/>
        </w:rPr>
        <w:t>29</w:t>
        <w:tab/>
      </w:r>
      <w:r>
        <w:rPr>
          <w:b w:val="0"/>
        </w:rPr>
        <w:t>abril</w:t>
      </w:r>
      <w:r>
        <w:rPr>
          <w:b w:val="0"/>
          <w:spacing w:val="10"/>
        </w:rPr>
        <w:t> </w:t>
      </w:r>
      <w:r>
        <w:rPr>
          <w:b w:val="0"/>
        </w:rPr>
        <w:t>de</w:t>
      </w:r>
      <w:r>
        <w:rPr>
          <w:b w:val="0"/>
          <w:spacing w:val="11"/>
        </w:rPr>
        <w:t> </w:t>
      </w:r>
      <w:r>
        <w:rPr>
          <w:b w:val="0"/>
        </w:rPr>
        <w:t>2020.</w:t>
      </w:r>
      <w:r>
        <w:rPr>
          <w:b w:val="0"/>
          <w:spacing w:val="13"/>
        </w:rPr>
        <w:t> </w:t>
      </w:r>
      <w:r>
        <w:rPr>
          <w:b w:val="0"/>
        </w:rPr>
        <w:t>Una</w:t>
      </w:r>
      <w:r>
        <w:rPr>
          <w:b w:val="0"/>
          <w:spacing w:val="10"/>
        </w:rPr>
        <w:t> </w:t>
      </w:r>
      <w:r>
        <w:rPr>
          <w:b w:val="0"/>
        </w:rPr>
        <w:t>vez</w:t>
      </w:r>
      <w:r>
        <w:rPr>
          <w:b w:val="0"/>
          <w:spacing w:val="11"/>
        </w:rPr>
        <w:t> </w:t>
      </w:r>
      <w:r>
        <w:rPr>
          <w:b w:val="0"/>
        </w:rPr>
        <w:t>detectado</w:t>
      </w:r>
      <w:r>
        <w:rPr>
          <w:b w:val="0"/>
          <w:spacing w:val="10"/>
        </w:rPr>
        <w:t> </w:t>
      </w:r>
      <w:r>
        <w:rPr>
          <w:b w:val="0"/>
        </w:rPr>
        <w:t>el</w:t>
      </w:r>
      <w:r>
        <w:rPr>
          <w:b w:val="0"/>
          <w:spacing w:val="11"/>
        </w:rPr>
        <w:t> </w:t>
      </w:r>
      <w:r>
        <w:rPr>
          <w:b w:val="0"/>
        </w:rPr>
        <w:t>estado</w:t>
      </w:r>
      <w:r>
        <w:rPr>
          <w:b w:val="0"/>
          <w:spacing w:val="11"/>
        </w:rPr>
        <w:t> </w:t>
      </w:r>
      <w:r>
        <w:rPr>
          <w:b w:val="0"/>
        </w:rPr>
        <w:t>de</w:t>
      </w:r>
      <w:r>
        <w:rPr>
          <w:b w:val="0"/>
          <w:spacing w:val="13"/>
        </w:rPr>
        <w:t> </w:t>
      </w:r>
      <w:r>
        <w:rPr>
          <w:b w:val="0"/>
        </w:rPr>
        <w:t>morosidad</w:t>
      </w:r>
      <w:r>
        <w:rPr>
          <w:b w:val="0"/>
          <w:spacing w:val="12"/>
        </w:rPr>
        <w:t> </w:t>
      </w:r>
      <w:r>
        <w:rPr>
          <w:b w:val="0"/>
        </w:rPr>
        <w:t>inicial</w:t>
      </w:r>
      <w:r>
        <w:rPr>
          <w:b w:val="0"/>
          <w:spacing w:val="11"/>
        </w:rPr>
        <w:t> </w:t>
      </w:r>
      <w:r>
        <w:rPr>
          <w:b w:val="0"/>
        </w:rPr>
        <w:t>y</w:t>
      </w:r>
      <w:r>
        <w:rPr>
          <w:b w:val="0"/>
          <w:spacing w:val="12"/>
        </w:rPr>
        <w:t> </w:t>
      </w:r>
      <w:r>
        <w:rPr>
          <w:b w:val="0"/>
        </w:rPr>
        <w:t>ante</w:t>
      </w:r>
      <w:r>
        <w:rPr>
          <w:b w:val="0"/>
          <w:spacing w:val="13"/>
        </w:rPr>
        <w:t> </w:t>
      </w:r>
      <w:r>
        <w:rPr>
          <w:b w:val="0"/>
        </w:rPr>
        <w:t>la</w:t>
      </w:r>
      <w:r>
        <w:rPr>
          <w:b w:val="0"/>
          <w:spacing w:val="11"/>
        </w:rPr>
        <w:t> </w:t>
      </w:r>
      <w:r>
        <w:rPr>
          <w:b w:val="0"/>
        </w:rPr>
        <w:t>solicitud</w:t>
      </w:r>
      <w:r>
        <w:rPr>
          <w:b w:val="0"/>
          <w:spacing w:val="11"/>
        </w:rPr>
        <w:t> </w:t>
      </w:r>
      <w:r>
        <w:rPr>
          <w:b w:val="0"/>
        </w:rPr>
        <w:t>de</w:t>
      </w:r>
      <w:r>
        <w:rPr>
          <w:b w:val="0"/>
          <w:spacing w:val="11"/>
        </w:rPr>
        <w:t> </w:t>
      </w:r>
      <w:r>
        <w:rPr>
          <w:b w:val="0"/>
        </w:rPr>
        <w:t>subsanación,</w:t>
      </w:r>
      <w:r>
        <w:rPr>
          <w:b w:val="0"/>
          <w:spacing w:val="11"/>
        </w:rPr>
        <w:t> </w:t>
      </w:r>
      <w:r>
        <w:rPr>
          <w:b w:val="0"/>
        </w:rPr>
        <w:t>en</w:t>
      </w:r>
      <w:r>
        <w:rPr>
          <w:b w:val="0"/>
          <w:spacing w:val="10"/>
        </w:rPr>
        <w:t> </w:t>
      </w:r>
      <w:r>
        <w:rPr>
          <w:b w:val="0"/>
        </w:rPr>
        <w:t>fecha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28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abril</w:t>
      </w:r>
      <w:r>
        <w:rPr>
          <w:b w:val="0"/>
          <w:spacing w:val="34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2020,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32"/>
          <w:sz w:val="22"/>
        </w:rPr>
        <w:t> </w:t>
      </w:r>
      <w:r>
        <w:rPr>
          <w:b w:val="0"/>
          <w:sz w:val="22"/>
        </w:rPr>
        <w:t>señora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Ericka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Batista</w:t>
      </w:r>
      <w:r>
        <w:rPr>
          <w:b w:val="0"/>
          <w:spacing w:val="32"/>
          <w:sz w:val="22"/>
        </w:rPr>
        <w:t> </w:t>
      </w:r>
      <w:r>
        <w:rPr>
          <w:b w:val="0"/>
          <w:sz w:val="22"/>
        </w:rPr>
        <w:t>Nájera,</w:t>
      </w:r>
      <w:r>
        <w:rPr>
          <w:b w:val="0"/>
          <w:spacing w:val="34"/>
          <w:sz w:val="22"/>
        </w:rPr>
        <w:t> </w:t>
      </w:r>
      <w:r>
        <w:rPr>
          <w:b w:val="0"/>
          <w:sz w:val="22"/>
        </w:rPr>
        <w:t>remite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correo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electrónico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indicando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hicieron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la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solicitud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Ministerio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Hacienda,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sin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embargo,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este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tarda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a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10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días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hábiles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hacerles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solicitud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por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motivo de que están realizando teletrabajo. Esta proveeduría realiza nueva consulta el 07 de mayo de 2020</w:t>
      </w:r>
      <w:r>
        <w:rPr>
          <w:b w:val="0"/>
          <w:spacing w:val="32"/>
          <w:sz w:val="22"/>
        </w:rPr>
        <w:t> </w:t>
      </w:r>
      <w:r>
        <w:rPr>
          <w:b w:val="0"/>
          <w:sz w:val="22"/>
        </w:rPr>
        <w:t>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la 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dirección 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autorizada 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por 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el 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Ministerio 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de 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Hacienda 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y 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se 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confirma 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que 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se 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encuentra 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normalizada 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la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situación, visible en el expediente electrónico, archivo denominado Consulta M.H. oferente 1.</w:t>
      </w:r>
      <w:r>
        <w:rPr>
          <w:b w:val="0"/>
          <w:spacing w:val="-22"/>
          <w:sz w:val="22"/>
        </w:rPr>
        <w:t> </w:t>
      </w:r>
      <w:r>
        <w:rPr>
          <w:b w:val="0"/>
          <w:sz w:val="22"/>
        </w:rPr>
        <w:t>Sepresa.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El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ente</w:t>
      </w:r>
      <w:r>
        <w:rPr>
          <w:b w:val="0"/>
          <w:spacing w:val="28"/>
          <w:sz w:val="22"/>
        </w:rPr>
        <w:t> </w:t>
      </w:r>
      <w:r>
        <w:rPr>
          <w:b w:val="0"/>
          <w:sz w:val="22"/>
        </w:rPr>
        <w:t>técnico</w:t>
      </w:r>
      <w:r>
        <w:rPr>
          <w:b w:val="0"/>
          <w:spacing w:val="28"/>
          <w:sz w:val="22"/>
        </w:rPr>
        <w:t> </w:t>
      </w:r>
      <w:r>
        <w:rPr>
          <w:b w:val="0"/>
          <w:sz w:val="22"/>
        </w:rPr>
        <w:t>considera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oferta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cumple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las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especificaciones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técnicas</w:t>
      </w:r>
      <w:r>
        <w:rPr>
          <w:b w:val="0"/>
          <w:spacing w:val="28"/>
          <w:sz w:val="22"/>
        </w:rPr>
        <w:t> </w:t>
      </w:r>
      <w:r>
        <w:rPr>
          <w:b w:val="0"/>
          <w:sz w:val="22"/>
        </w:rPr>
        <w:t>indicadas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pliego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8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condiciones. En cuanto a los requisitos de admisibilidad, la oferta no indica marca del producto ofertado,</w:t>
      </w:r>
      <w:r>
        <w:rPr>
          <w:b w:val="0"/>
          <w:spacing w:val="43"/>
          <w:sz w:val="22"/>
        </w:rPr>
        <w:t> </w:t>
      </w:r>
      <w:r>
        <w:rPr>
          <w:b w:val="0"/>
          <w:sz w:val="22"/>
        </w:rPr>
        <w:t>por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lo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no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cumple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cláusula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3.1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indicada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cartel: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o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oferente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debe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indicar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su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propuesta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la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marca y modelo ofrecido, así como demás características técnicas, lo cual incumple un aspecto obligatorio</w:t>
      </w:r>
      <w:r>
        <w:rPr>
          <w:b w:val="0"/>
          <w:spacing w:val="-2"/>
          <w:sz w:val="22"/>
        </w:rPr>
        <w:t> </w:t>
      </w:r>
      <w:r>
        <w:rPr>
          <w:b w:val="0"/>
          <w:sz w:val="22"/>
        </w:rPr>
        <w:t>en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top="1060" w:bottom="280" w:left="460" w:right="740"/>
        </w:sectPr>
      </w:pP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72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este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concurso,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ante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tal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omisión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sustantiva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su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oferta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se procede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a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exclusión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misma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presente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contratación.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Debe recordarse que el cartel constituye, en términos del artículo 51 del Reglamento a </w:t>
      </w:r>
      <w:r>
        <w:rPr>
          <w:b w:val="0"/>
          <w:spacing w:val="2"/>
          <w:sz w:val="22"/>
        </w:rPr>
        <w:t>la</w:t>
      </w:r>
      <w:r>
        <w:rPr>
          <w:b w:val="0"/>
          <w:spacing w:val="-34"/>
          <w:sz w:val="22"/>
        </w:rPr>
        <w:t> </w:t>
      </w:r>
      <w:r>
        <w:rPr>
          <w:b w:val="0"/>
          <w:sz w:val="22"/>
        </w:rPr>
        <w:t>Ley de Contratación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Administrativa,  “el  reglamento  específico  de  la  contratación  que  se  promueve”.  Por  consiguiente,  es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instrumento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idóneo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para</w:t>
      </w:r>
      <w:r>
        <w:rPr>
          <w:b w:val="0"/>
          <w:spacing w:val="17"/>
          <w:sz w:val="22"/>
        </w:rPr>
        <w:t> </w:t>
      </w:r>
      <w:r>
        <w:rPr>
          <w:b w:val="0"/>
          <w:sz w:val="22"/>
        </w:rPr>
        <w:t>definir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los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términos,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objetivos,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19"/>
          <w:sz w:val="22"/>
        </w:rPr>
        <w:t> </w:t>
      </w:r>
      <w:r>
        <w:rPr>
          <w:b w:val="0"/>
          <w:sz w:val="22"/>
        </w:rPr>
        <w:t>las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reglas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van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a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prevalecer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18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tramitación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del procedimiento de</w:t>
      </w:r>
      <w:r>
        <w:rPr>
          <w:b w:val="0"/>
          <w:spacing w:val="-4"/>
          <w:sz w:val="22"/>
        </w:rPr>
        <w:t> </w:t>
      </w:r>
      <w:r>
        <w:rPr>
          <w:b w:val="0"/>
          <w:sz w:val="22"/>
        </w:rPr>
        <w:t>contratación.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En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fecha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07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mayo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2020,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se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le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cursa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prevención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para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conocer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anuencia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a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un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aumento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cantidades,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pasando de  16  a 18  unidades,  la misma es atendida en misma fecha manifestando estar de  acuerdo con</w:t>
      </w:r>
      <w:r>
        <w:rPr>
          <w:b w:val="0"/>
          <w:spacing w:val="30"/>
          <w:sz w:val="22"/>
        </w:rPr>
        <w:t> </w:t>
      </w:r>
      <w:r>
        <w:rPr>
          <w:b w:val="0"/>
          <w:sz w:val="22"/>
        </w:rPr>
        <w:t>lo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solicitado,  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sin  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embargo,  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es  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importante  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aclarar  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que  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dicha  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prevención  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no  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correspondía,  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debido  </w:t>
      </w:r>
      <w:r>
        <w:rPr>
          <w:b w:val="0"/>
          <w:spacing w:val="1"/>
          <w:sz w:val="22"/>
        </w:rPr>
        <w:t> </w:t>
      </w:r>
      <w:r>
        <w:rPr>
          <w:b w:val="0"/>
          <w:sz w:val="22"/>
        </w:rPr>
        <w:t>al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incumplimiento del requisito de admisibilidad 3.1 indicado en el</w:t>
      </w:r>
      <w:r>
        <w:rPr>
          <w:b w:val="0"/>
          <w:spacing w:val="-5"/>
          <w:sz w:val="22"/>
        </w:rPr>
        <w:t> </w:t>
      </w:r>
      <w:r>
        <w:rPr>
          <w:b w:val="0"/>
          <w:sz w:val="22"/>
        </w:rPr>
        <w:t>cartel.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8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En conclusión, la oferta se excluye del concurso por no cumplir con el requisito de admisibilidad 3.1 del</w:t>
      </w:r>
      <w:r>
        <w:rPr>
          <w:b w:val="0"/>
          <w:spacing w:val="-17"/>
          <w:sz w:val="22"/>
        </w:rPr>
        <w:t> </w:t>
      </w:r>
      <w:r>
        <w:rPr>
          <w:b w:val="0"/>
          <w:sz w:val="22"/>
        </w:rPr>
        <w:t>pliego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2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de</w:t>
      </w:r>
      <w:r>
        <w:rPr>
          <w:b w:val="0"/>
          <w:spacing w:val="1"/>
          <w:sz w:val="22"/>
        </w:rPr>
        <w:t> </w:t>
      </w:r>
      <w:r>
        <w:rPr>
          <w:b w:val="0"/>
          <w:sz w:val="22"/>
        </w:rPr>
        <w:t>condiciones.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Oferta N° 2 G y R Grupo Asesor S.</w:t>
      </w:r>
      <w:r>
        <w:rPr>
          <w:b w:val="0"/>
          <w:spacing w:val="-8"/>
          <w:sz w:val="22"/>
        </w:rPr>
        <w:t> </w:t>
      </w:r>
      <w:r>
        <w:rPr>
          <w:b w:val="0"/>
          <w:sz w:val="22"/>
        </w:rPr>
        <w:t>A.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En primera instancia es importante señalar que, por parte del Departamento de Proveeduría, se procedió</w:t>
      </w:r>
      <w:r>
        <w:rPr>
          <w:b w:val="0"/>
          <w:spacing w:val="-16"/>
          <w:sz w:val="22"/>
        </w:rPr>
        <w:t> </w:t>
      </w:r>
      <w:r>
        <w:rPr>
          <w:b w:val="0"/>
          <w:sz w:val="22"/>
        </w:rPr>
        <w:t>con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la verificación del cumplimiento del pago de las obligaciones de Seguridad Social y Tributarias, a través de 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las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direcciones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web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autorizadas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por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Caja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Costarricense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Seguro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Social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Ministerio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Hacienda,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conforme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las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consultas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visibles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expediente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electrónico,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archivo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denominado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Consulta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CCSS,</w:t>
      </w:r>
      <w:r>
        <w:rPr>
          <w:b w:val="0"/>
          <w:spacing w:val="15"/>
          <w:sz w:val="22"/>
        </w:rPr>
        <w:t> </w:t>
      </w:r>
      <w:r>
        <w:rPr>
          <w:b w:val="0"/>
          <w:sz w:val="22"/>
        </w:rPr>
        <w:t>FODESAF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M.H.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del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24  de  abril  de  2020. el  oferente  se encontraba “al día”  con  la  CCSS,  Fodesaf y  situación Tributaria</w:t>
      </w:r>
      <w:r>
        <w:rPr>
          <w:b w:val="0"/>
          <w:spacing w:val="-17"/>
          <w:sz w:val="22"/>
        </w:rPr>
        <w:t> </w:t>
      </w:r>
      <w:r>
        <w:rPr>
          <w:b w:val="0"/>
          <w:sz w:val="22"/>
        </w:rPr>
        <w:t>con 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Ministerio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2"/>
          <w:sz w:val="22"/>
        </w:rPr>
        <w:t> </w:t>
      </w:r>
      <w:r>
        <w:rPr>
          <w:b w:val="0"/>
          <w:sz w:val="22"/>
        </w:rPr>
        <w:t>Hacienda,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por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lo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cumple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lo</w:t>
      </w:r>
      <w:r>
        <w:rPr>
          <w:b w:val="0"/>
          <w:spacing w:val="1"/>
          <w:sz w:val="22"/>
        </w:rPr>
        <w:t> </w:t>
      </w:r>
      <w:r>
        <w:rPr>
          <w:b w:val="0"/>
          <w:sz w:val="22"/>
        </w:rPr>
        <w:t>establecido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2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art.</w:t>
      </w:r>
      <w:r>
        <w:rPr>
          <w:b w:val="0"/>
          <w:spacing w:val="2"/>
          <w:sz w:val="22"/>
        </w:rPr>
        <w:t> </w:t>
      </w:r>
      <w:r>
        <w:rPr>
          <w:b w:val="0"/>
          <w:sz w:val="22"/>
        </w:rPr>
        <w:t>74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bis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Ley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Orgánica</w:t>
      </w:r>
      <w:r>
        <w:rPr>
          <w:b w:val="0"/>
          <w:spacing w:val="2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CCSS,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con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artículo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22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Ley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5602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art.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65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Reglamento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a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Ley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Contratación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Administrativa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al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estar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al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8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día con los impuestos</w:t>
      </w:r>
      <w:r>
        <w:rPr>
          <w:b w:val="0"/>
          <w:spacing w:val="-6"/>
          <w:sz w:val="22"/>
        </w:rPr>
        <w:t> </w:t>
      </w:r>
      <w:r>
        <w:rPr>
          <w:b w:val="0"/>
          <w:sz w:val="22"/>
        </w:rPr>
        <w:t>nacionales.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El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ente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técnico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considera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oferta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cumple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los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requisitos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admisibilidad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especificaciones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técnicas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indicadas</w:t>
      </w:r>
      <w:r>
        <w:rPr>
          <w:b w:val="0"/>
          <w:spacing w:val="21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21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20"/>
          <w:sz w:val="22"/>
        </w:rPr>
        <w:t> </w:t>
      </w:r>
      <w:r>
        <w:rPr>
          <w:b w:val="0"/>
          <w:sz w:val="22"/>
        </w:rPr>
        <w:t>pliego</w:t>
      </w:r>
      <w:r>
        <w:rPr>
          <w:b w:val="0"/>
          <w:spacing w:val="21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condiciones.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cuanto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al</w:t>
      </w:r>
      <w:r>
        <w:rPr>
          <w:b w:val="0"/>
          <w:spacing w:val="20"/>
          <w:sz w:val="22"/>
        </w:rPr>
        <w:t> </w:t>
      </w:r>
      <w:r>
        <w:rPr>
          <w:b w:val="0"/>
          <w:sz w:val="22"/>
        </w:rPr>
        <w:t>estudio</w:t>
      </w:r>
      <w:r>
        <w:rPr>
          <w:b w:val="0"/>
          <w:spacing w:val="20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22"/>
          <w:sz w:val="22"/>
        </w:rPr>
        <w:t> </w:t>
      </w:r>
      <w:r>
        <w:rPr>
          <w:b w:val="0"/>
          <w:sz w:val="22"/>
        </w:rPr>
        <w:t>razonabilidad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21"/>
          <w:sz w:val="22"/>
        </w:rPr>
        <w:t> </w:t>
      </w:r>
      <w:r>
        <w:rPr>
          <w:b w:val="0"/>
          <w:sz w:val="22"/>
        </w:rPr>
        <w:t>precio,</w:t>
      </w:r>
      <w:r>
        <w:rPr>
          <w:b w:val="0"/>
          <w:spacing w:val="22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acuerdo</w:t>
      </w:r>
      <w:r>
        <w:rPr>
          <w:b w:val="0"/>
          <w:spacing w:val="20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22"/>
          <w:sz w:val="22"/>
        </w:rPr>
        <w:t> </w:t>
      </w:r>
      <w:r>
        <w:rPr>
          <w:b w:val="0"/>
          <w:sz w:val="22"/>
        </w:rPr>
        <w:t>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estudio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2"/>
          <w:sz w:val="22"/>
        </w:rPr>
        <w:t> </w:t>
      </w:r>
      <w:r>
        <w:rPr>
          <w:b w:val="0"/>
          <w:sz w:val="22"/>
        </w:rPr>
        <w:t>mercado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aportado,</w:t>
      </w:r>
      <w:r>
        <w:rPr>
          <w:b w:val="0"/>
          <w:spacing w:val="42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técnico</w:t>
      </w:r>
      <w:r>
        <w:rPr>
          <w:b w:val="0"/>
          <w:spacing w:val="43"/>
          <w:sz w:val="22"/>
        </w:rPr>
        <w:t> </w:t>
      </w:r>
      <w:r>
        <w:rPr>
          <w:b w:val="0"/>
          <w:sz w:val="22"/>
        </w:rPr>
        <w:t>indica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42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precio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¢280.000.00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se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encuentran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dentro</w:t>
      </w:r>
      <w:r>
        <w:rPr>
          <w:b w:val="0"/>
          <w:spacing w:val="40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4"/>
          <w:sz w:val="22"/>
        </w:rPr>
        <w:t> </w:t>
      </w:r>
      <w:r>
        <w:rPr>
          <w:b w:val="0"/>
          <w:sz w:val="22"/>
        </w:rPr>
        <w:t>los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márgenes establecidos por lo que se considera</w:t>
      </w:r>
      <w:r>
        <w:rPr>
          <w:b w:val="0"/>
          <w:spacing w:val="-3"/>
          <w:sz w:val="22"/>
        </w:rPr>
        <w:t> </w:t>
      </w:r>
      <w:r>
        <w:rPr>
          <w:b w:val="0"/>
          <w:sz w:val="22"/>
        </w:rPr>
        <w:t>razonables.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En conclusión, la oferta cumple con los requisitos de admisibilidad, especificaciones técnicas y el precio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se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considera razonable, por lo que la oferta es susceptible de</w:t>
      </w:r>
      <w:r>
        <w:rPr>
          <w:b w:val="0"/>
          <w:spacing w:val="-18"/>
          <w:sz w:val="22"/>
        </w:rPr>
        <w:t> </w:t>
      </w:r>
      <w:r>
        <w:rPr>
          <w:b w:val="0"/>
          <w:sz w:val="22"/>
        </w:rPr>
        <w:t>adjudicación.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8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Sistema de</w:t>
      </w:r>
      <w:r>
        <w:rPr>
          <w:b w:val="0"/>
          <w:spacing w:val="-1"/>
          <w:sz w:val="22"/>
        </w:rPr>
        <w:t> </w:t>
      </w:r>
      <w:r>
        <w:rPr>
          <w:b w:val="0"/>
          <w:sz w:val="22"/>
        </w:rPr>
        <w:t>Evaluación: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En</w:t>
      </w:r>
      <w:r>
        <w:rPr>
          <w:b w:val="0"/>
          <w:spacing w:val="5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punto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6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pliego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condiciones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se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estableció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como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sistema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evaluación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3"/>
          <w:sz w:val="22"/>
        </w:rPr>
        <w:t> </w:t>
      </w:r>
      <w:r>
        <w:rPr>
          <w:b w:val="0"/>
          <w:sz w:val="22"/>
        </w:rPr>
        <w:t>se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otorgaría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1"/>
          <w:sz w:val="22"/>
        </w:rPr>
        <w:t> </w:t>
      </w:r>
      <w:r>
        <w:rPr>
          <w:b w:val="0"/>
          <w:sz w:val="22"/>
        </w:rPr>
        <w:t>100%</w:t>
      </w:r>
      <w:r>
        <w:rPr>
          <w:b w:val="0"/>
          <w:spacing w:val="4"/>
          <w:sz w:val="22"/>
        </w:rPr>
        <w:t> </w:t>
      </w:r>
      <w:r>
        <w:rPr>
          <w:b w:val="0"/>
          <w:sz w:val="22"/>
        </w:rPr>
        <w:t>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la  oferta  de  menor  precio,  sin  embargo,  en  la presente  contratación  no se  aplicó,  en  vista  que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solo un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oferente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es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admisible,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por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lo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pierde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sentido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su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aplicación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ya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no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existe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contra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quien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compararlo.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No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obstante, 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se 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verifico 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que 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la 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misma 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cumple 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a 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satisfacción 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con 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los 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requerimientos 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técnicos 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y 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legales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establecidos en el pliego de</w:t>
      </w:r>
      <w:r>
        <w:rPr>
          <w:b w:val="0"/>
          <w:spacing w:val="-7"/>
          <w:sz w:val="22"/>
        </w:rPr>
        <w:t> </w:t>
      </w:r>
      <w:r>
        <w:rPr>
          <w:b w:val="0"/>
          <w:sz w:val="22"/>
        </w:rPr>
        <w:t>condiciones.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Contenido Presupuestario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Cabe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señalar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conforme</w:t>
      </w:r>
      <w:r>
        <w:rPr>
          <w:b w:val="0"/>
          <w:spacing w:val="16"/>
          <w:sz w:val="22"/>
        </w:rPr>
        <w:t> </w:t>
      </w:r>
      <w:r>
        <w:rPr>
          <w:b w:val="0"/>
          <w:sz w:val="22"/>
        </w:rPr>
        <w:t>consta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expediente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mencionada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contratación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existe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disponibilidad</w:t>
      </w:r>
      <w:r>
        <w:rPr>
          <w:b w:val="0"/>
          <w:spacing w:val="12"/>
          <w:sz w:val="22"/>
        </w:rPr>
        <w:t> </w:t>
      </w:r>
      <w:r>
        <w:rPr>
          <w:b w:val="0"/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recursos  presupuestarios suficientes  en  la subpartida 20401  - Herramientas  e  instrumentos,  mediante  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la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solicitud</w:t>
      </w:r>
      <w:r>
        <w:rPr>
          <w:b w:val="0"/>
          <w:spacing w:val="23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pedido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N°</w:t>
      </w:r>
      <w:r>
        <w:rPr>
          <w:b w:val="0"/>
          <w:spacing w:val="26"/>
          <w:sz w:val="22"/>
        </w:rPr>
        <w:t> </w:t>
      </w:r>
      <w:r>
        <w:rPr>
          <w:b w:val="0"/>
          <w:sz w:val="22"/>
        </w:rPr>
        <w:t>301-201378-20,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301-201693-20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301-201840-20,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las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cuales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son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suficientes</w:t>
      </w:r>
      <w:r>
        <w:rPr>
          <w:b w:val="0"/>
          <w:spacing w:val="25"/>
          <w:sz w:val="22"/>
        </w:rPr>
        <w:t> </w:t>
      </w:r>
      <w:r>
        <w:rPr>
          <w:b w:val="0"/>
          <w:sz w:val="22"/>
        </w:rPr>
        <w:t>para</w:t>
      </w:r>
      <w:r>
        <w:rPr>
          <w:b w:val="0"/>
          <w:spacing w:val="24"/>
          <w:sz w:val="22"/>
        </w:rPr>
        <w:t> </w:t>
      </w:r>
      <w:r>
        <w:rPr>
          <w:b w:val="0"/>
          <w:sz w:val="22"/>
        </w:rPr>
        <w:t>la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adjudicación.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Conclusión.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De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acuerdo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7"/>
          <w:sz w:val="22"/>
        </w:rPr>
        <w:t> </w:t>
      </w:r>
      <w:r>
        <w:rPr>
          <w:b w:val="0"/>
          <w:sz w:val="22"/>
        </w:rPr>
        <w:t>análisis</w:t>
      </w:r>
      <w:r>
        <w:rPr>
          <w:b w:val="0"/>
          <w:spacing w:val="37"/>
          <w:sz w:val="22"/>
        </w:rPr>
        <w:t> </w:t>
      </w:r>
      <w:r>
        <w:rPr>
          <w:b w:val="0"/>
          <w:sz w:val="22"/>
        </w:rPr>
        <w:t>antes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expuesto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estudio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técnico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realizado</w:t>
      </w:r>
      <w:r>
        <w:rPr>
          <w:b w:val="0"/>
          <w:spacing w:val="39"/>
          <w:sz w:val="22"/>
        </w:rPr>
        <w:t> </w:t>
      </w:r>
      <w:r>
        <w:rPr>
          <w:b w:val="0"/>
          <w:sz w:val="22"/>
        </w:rPr>
        <w:t>por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38"/>
          <w:sz w:val="22"/>
        </w:rPr>
        <w:t> </w:t>
      </w:r>
      <w:r>
        <w:rPr>
          <w:b w:val="0"/>
          <w:sz w:val="22"/>
        </w:rPr>
        <w:t>Sección</w:t>
      </w:r>
      <w:r>
        <w:rPr>
          <w:b w:val="0"/>
          <w:spacing w:val="36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1"/>
          <w:sz w:val="22"/>
        </w:rPr>
        <w:t> </w:t>
      </w:r>
      <w:r>
        <w:rPr>
          <w:b w:val="0"/>
          <w:sz w:val="22"/>
        </w:rPr>
        <w:t>Especializada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Contra</w:t>
      </w:r>
      <w:r>
        <w:rPr>
          <w:b w:val="0"/>
          <w:spacing w:val="32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Crimen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Organizado,</w:t>
      </w:r>
      <w:r>
        <w:rPr>
          <w:b w:val="0"/>
          <w:spacing w:val="34"/>
          <w:sz w:val="22"/>
        </w:rPr>
        <w:t> </w:t>
      </w:r>
      <w:r>
        <w:rPr>
          <w:b w:val="0"/>
          <w:sz w:val="22"/>
        </w:rPr>
        <w:t>esta</w:t>
      </w:r>
      <w:r>
        <w:rPr>
          <w:b w:val="0"/>
          <w:spacing w:val="32"/>
          <w:sz w:val="22"/>
        </w:rPr>
        <w:t> </w:t>
      </w:r>
      <w:r>
        <w:rPr>
          <w:b w:val="0"/>
          <w:sz w:val="22"/>
        </w:rPr>
        <w:t>Proveeduría</w:t>
      </w:r>
      <w:r>
        <w:rPr>
          <w:b w:val="0"/>
          <w:spacing w:val="31"/>
          <w:sz w:val="22"/>
        </w:rPr>
        <w:t> </w:t>
      </w:r>
      <w:r>
        <w:rPr>
          <w:b w:val="0"/>
          <w:sz w:val="22"/>
        </w:rPr>
        <w:t>determina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oferente</w:t>
      </w:r>
      <w:r>
        <w:rPr>
          <w:b w:val="0"/>
          <w:spacing w:val="34"/>
          <w:sz w:val="22"/>
        </w:rPr>
        <w:t> </w:t>
      </w:r>
      <w:r>
        <w:rPr>
          <w:b w:val="0"/>
          <w:sz w:val="22"/>
        </w:rPr>
        <w:t>N°2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G</w:t>
      </w:r>
      <w:r>
        <w:rPr>
          <w:b w:val="0"/>
          <w:spacing w:val="34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35"/>
          <w:sz w:val="22"/>
        </w:rPr>
        <w:t> </w:t>
      </w:r>
      <w:r>
        <w:rPr>
          <w:b w:val="0"/>
          <w:sz w:val="22"/>
        </w:rPr>
        <w:t>R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Grupo</w:t>
      </w:r>
      <w:r>
        <w:rPr>
          <w:b w:val="0"/>
          <w:spacing w:val="34"/>
          <w:sz w:val="22"/>
        </w:rPr>
        <w:t> </w:t>
      </w:r>
      <w:r>
        <w:rPr>
          <w:b w:val="0"/>
          <w:sz w:val="22"/>
        </w:rPr>
        <w:t>Asesor</w:t>
      </w:r>
      <w:r>
        <w:rPr>
          <w:b w:val="0"/>
          <w:spacing w:val="33"/>
          <w:sz w:val="22"/>
        </w:rPr>
        <w:t> </w:t>
      </w:r>
      <w:r>
        <w:rPr>
          <w:b w:val="0"/>
          <w:sz w:val="22"/>
        </w:rPr>
        <w:t>S.</w:t>
      </w:r>
      <w:r>
        <w:rPr>
          <w:b w:val="0"/>
          <w:spacing w:val="34"/>
          <w:sz w:val="22"/>
        </w:rPr>
        <w:t> </w:t>
      </w:r>
      <w:r>
        <w:rPr>
          <w:b w:val="0"/>
          <w:sz w:val="22"/>
        </w:rPr>
        <w:t>A.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califica legal y técnicamente para ser adjudicatarios, al cumplir a cabalidad con los requerimientos</w:t>
      </w:r>
      <w:r>
        <w:rPr>
          <w:b w:val="0"/>
          <w:spacing w:val="-31"/>
          <w:sz w:val="22"/>
        </w:rPr>
        <w:t> </w:t>
      </w:r>
      <w:r>
        <w:rPr>
          <w:b w:val="0"/>
          <w:sz w:val="22"/>
        </w:rPr>
        <w:t>cartelarios;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top="1060" w:bottom="280" w:left="460" w:right="740"/>
        </w:sectPr>
      </w:pP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72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por lo que se adjudica la presente contratación de la siguiente</w:t>
      </w:r>
      <w:r>
        <w:rPr>
          <w:b w:val="0"/>
          <w:spacing w:val="-10"/>
          <w:sz w:val="22"/>
        </w:rPr>
        <w:t> </w:t>
      </w:r>
      <w:r>
        <w:rPr>
          <w:b w:val="0"/>
          <w:sz w:val="22"/>
        </w:rPr>
        <w:t>forma: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A</w:t>
      </w:r>
      <w:r>
        <w:rPr>
          <w:b w:val="0"/>
          <w:spacing w:val="30"/>
          <w:sz w:val="22"/>
        </w:rPr>
        <w:t> </w:t>
      </w:r>
      <w:r>
        <w:rPr>
          <w:b w:val="0"/>
          <w:sz w:val="22"/>
        </w:rPr>
        <w:t>favor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28"/>
          <w:sz w:val="22"/>
        </w:rPr>
        <w:t> </w:t>
      </w:r>
      <w:r>
        <w:rPr>
          <w:b w:val="0"/>
          <w:sz w:val="22"/>
        </w:rPr>
        <w:t>G</w:t>
      </w:r>
      <w:r>
        <w:rPr>
          <w:b w:val="0"/>
          <w:spacing w:val="32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32"/>
          <w:sz w:val="22"/>
        </w:rPr>
        <w:t> </w:t>
      </w:r>
      <w:r>
        <w:rPr>
          <w:b w:val="0"/>
          <w:sz w:val="22"/>
        </w:rPr>
        <w:t>R</w:t>
      </w:r>
      <w:r>
        <w:rPr>
          <w:b w:val="0"/>
          <w:spacing w:val="28"/>
          <w:sz w:val="22"/>
        </w:rPr>
        <w:t> </w:t>
      </w:r>
      <w:r>
        <w:rPr>
          <w:b w:val="0"/>
          <w:sz w:val="22"/>
        </w:rPr>
        <w:t>Grupo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Asesor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S.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A.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cédula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32"/>
          <w:sz w:val="22"/>
        </w:rPr>
        <w:t> </w:t>
      </w:r>
      <w:r>
        <w:rPr>
          <w:b w:val="0"/>
          <w:sz w:val="22"/>
        </w:rPr>
        <w:t>jurídica</w:t>
      </w:r>
      <w:r>
        <w:rPr>
          <w:b w:val="0"/>
          <w:spacing w:val="30"/>
          <w:sz w:val="22"/>
        </w:rPr>
        <w:t> </w:t>
      </w:r>
      <w:r>
        <w:rPr>
          <w:b w:val="0"/>
          <w:sz w:val="22"/>
        </w:rPr>
        <w:t>3-101-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576808,</w:t>
      </w:r>
      <w:r>
        <w:rPr>
          <w:b w:val="0"/>
          <w:spacing w:val="30"/>
          <w:sz w:val="22"/>
        </w:rPr>
        <w:t> </w:t>
      </w:r>
      <w:r>
        <w:rPr>
          <w:b w:val="0"/>
          <w:sz w:val="22"/>
        </w:rPr>
        <w:t>la</w:t>
      </w:r>
      <w:r>
        <w:rPr>
          <w:b w:val="0"/>
          <w:spacing w:val="30"/>
          <w:sz w:val="22"/>
        </w:rPr>
        <w:t> </w:t>
      </w:r>
      <w:r>
        <w:rPr>
          <w:b w:val="0"/>
          <w:sz w:val="22"/>
        </w:rPr>
        <w:t>línea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N°1</w:t>
      </w:r>
      <w:r>
        <w:rPr>
          <w:b w:val="0"/>
          <w:spacing w:val="31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30"/>
          <w:sz w:val="22"/>
        </w:rPr>
        <w:t> </w:t>
      </w:r>
      <w:r>
        <w:rPr>
          <w:b w:val="0"/>
          <w:sz w:val="22"/>
        </w:rPr>
        <w:t>esta</w:t>
      </w:r>
      <w:r>
        <w:rPr>
          <w:b w:val="0"/>
          <w:spacing w:val="29"/>
          <w:sz w:val="22"/>
        </w:rPr>
        <w:t> </w:t>
      </w:r>
      <w:r>
        <w:rPr>
          <w:b w:val="0"/>
          <w:sz w:val="22"/>
        </w:rPr>
        <w:t>contratación,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demás condiciones conforme al pliego de condiciones; con un plazo de entrega de 30 días hábiles después</w:t>
      </w:r>
      <w:r>
        <w:rPr>
          <w:b w:val="0"/>
          <w:spacing w:val="-13"/>
          <w:sz w:val="22"/>
        </w:rPr>
        <w:t> </w:t>
      </w:r>
      <w:r>
        <w:rPr>
          <w:b w:val="0"/>
          <w:sz w:val="22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recibido el pedido, ya sea vía fax o correo electrónico, lo que ocurra primero. En cuanto a la garantía será</w:t>
      </w:r>
      <w:r>
        <w:rPr>
          <w:b w:val="0"/>
          <w:spacing w:val="27"/>
          <w:sz w:val="22"/>
        </w:rPr>
        <w:t> </w:t>
      </w:r>
      <w:r>
        <w:rPr>
          <w:b w:val="0"/>
          <w:sz w:val="22"/>
        </w:rPr>
        <w:t>por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9" w:after="42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un período de 12 meses, según el siguiente</w:t>
      </w:r>
      <w:r>
        <w:rPr>
          <w:b w:val="0"/>
          <w:spacing w:val="-6"/>
          <w:sz w:val="22"/>
        </w:rPr>
        <w:t> </w:t>
      </w:r>
      <w:r>
        <w:rPr>
          <w:b w:val="0"/>
          <w:sz w:val="22"/>
        </w:rPr>
        <w:t>detalle: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9"/>
        <w:gridCol w:w="708"/>
        <w:gridCol w:w="1109"/>
        <w:gridCol w:w="4681"/>
        <w:gridCol w:w="1983"/>
        <w:gridCol w:w="1450"/>
      </w:tblGrid>
      <w:tr>
        <w:trPr>
          <w:trHeight w:val="309" w:hRule="atLeast"/>
        </w:trPr>
        <w:tc>
          <w:tcPr>
            <w:tcW w:w="8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68" w:lineRule="exact"/>
              <w:ind w:left="69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LÍNEA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68" w:lineRule="exact"/>
              <w:ind w:left="49" w:right="115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CANT</w:t>
            </w:r>
          </w:p>
        </w:tc>
        <w:tc>
          <w:tcPr>
            <w:tcW w:w="1109" w:type="dxa"/>
          </w:tcPr>
          <w:p>
            <w:pPr>
              <w:pStyle w:val="TableParagraph"/>
              <w:spacing w:line="268" w:lineRule="exact"/>
              <w:ind w:left="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UNIDAD</w:t>
            </w:r>
          </w:p>
        </w:tc>
        <w:tc>
          <w:tcPr>
            <w:tcW w:w="4681" w:type="dxa"/>
          </w:tcPr>
          <w:p>
            <w:pPr>
              <w:pStyle w:val="TableParagraph"/>
              <w:spacing w:line="268" w:lineRule="exact"/>
              <w:ind w:left="7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DESCRIPCIÓN ARTICULO</w:t>
            </w:r>
          </w:p>
        </w:tc>
        <w:tc>
          <w:tcPr>
            <w:tcW w:w="1983" w:type="dxa"/>
          </w:tcPr>
          <w:p>
            <w:pPr>
              <w:pStyle w:val="TableParagraph"/>
              <w:spacing w:line="268" w:lineRule="exact"/>
              <w:ind w:right="356"/>
              <w:jc w:val="righ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COSTO UNITARIO</w:t>
            </w:r>
          </w:p>
        </w:tc>
        <w:tc>
          <w:tcPr>
            <w:tcW w:w="1450" w:type="dxa"/>
          </w:tcPr>
          <w:p>
            <w:pPr>
              <w:pStyle w:val="TableParagraph"/>
              <w:spacing w:line="268" w:lineRule="exact"/>
              <w:ind w:right="57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COSTO TOTAL</w:t>
            </w:r>
          </w:p>
        </w:tc>
      </w:tr>
      <w:tr>
        <w:trPr>
          <w:trHeight w:val="3708" w:hRule="atLeast"/>
        </w:trPr>
        <w:tc>
          <w:tcPr>
            <w:tcW w:w="8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"/>
              <w:rPr>
                <w:b w:val="0"/>
                <w:sz w:val="25"/>
              </w:rPr>
            </w:pPr>
          </w:p>
          <w:p>
            <w:pPr>
              <w:pStyle w:val="TableParagraph"/>
              <w:ind w:left="15"/>
              <w:jc w:val="center"/>
              <w:rPr>
                <w:b w:val="0"/>
                <w:sz w:val="22"/>
              </w:rPr>
            </w:pPr>
            <w:r>
              <w:rPr>
                <w:b w:val="0"/>
                <w:w w:val="100"/>
                <w:sz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3"/>
              <w:rPr>
                <w:b w:val="0"/>
                <w:sz w:val="25"/>
              </w:rPr>
            </w:pPr>
          </w:p>
          <w:p>
            <w:pPr>
              <w:pStyle w:val="TableParagraph"/>
              <w:ind w:left="49" w:right="37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16</w:t>
            </w:r>
          </w:p>
        </w:tc>
        <w:tc>
          <w:tcPr>
            <w:tcW w:w="1109" w:type="dxa"/>
          </w:tcPr>
          <w:p>
            <w:pPr>
              <w:pStyle w:val="TableParagraph"/>
              <w:spacing w:before="3"/>
              <w:rPr>
                <w:b w:val="0"/>
                <w:sz w:val="25"/>
              </w:rPr>
            </w:pPr>
          </w:p>
          <w:p>
            <w:pPr>
              <w:pStyle w:val="TableParagraph"/>
              <w:ind w:left="14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Unidades</w:t>
            </w:r>
          </w:p>
        </w:tc>
        <w:tc>
          <w:tcPr>
            <w:tcW w:w="4681" w:type="dxa"/>
          </w:tcPr>
          <w:p>
            <w:pPr>
              <w:pStyle w:val="TableParagraph"/>
              <w:spacing w:line="276" w:lineRule="auto"/>
              <w:ind w:left="71" w:right="355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PULLER MARCA SPS</w:t>
            </w:r>
          </w:p>
          <w:p>
            <w:pPr>
              <w:pStyle w:val="TableParagraph"/>
              <w:ind w:left="7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Construcción herramienta Brecheo (Puller)</w:t>
            </w:r>
          </w:p>
          <w:p>
            <w:pPr>
              <w:pStyle w:val="TableParagraph"/>
              <w:spacing w:line="276" w:lineRule="auto" w:before="39"/>
              <w:ind w:left="71" w:right="74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barra acero 1020 Ø1" y Ø1,1/4", platina HN de 4"X 1/4". Seguro carrera final Ø2”, X 1/2" resorte acero especial templado, soldadura en Mig reforzada, pintada color negro Largo total 129cm, peso</w:t>
            </w:r>
          </w:p>
          <w:p>
            <w:pPr>
              <w:pStyle w:val="TableParagraph"/>
              <w:spacing w:before="1"/>
              <w:ind w:left="7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total, de 20</w:t>
            </w:r>
            <w:r>
              <w:rPr>
                <w:b w:val="0"/>
                <w:spacing w:val="-4"/>
                <w:sz w:val="22"/>
              </w:rPr>
              <w:t> </w:t>
            </w:r>
            <w:r>
              <w:rPr>
                <w:b w:val="0"/>
                <w:sz w:val="22"/>
              </w:rPr>
              <w:t>kilos.</w:t>
            </w:r>
          </w:p>
          <w:p>
            <w:pPr>
              <w:pStyle w:val="TableParagraph"/>
              <w:spacing w:before="7"/>
              <w:rPr>
                <w:b w:val="0"/>
                <w:sz w:val="28"/>
              </w:rPr>
            </w:pPr>
          </w:p>
          <w:p>
            <w:pPr>
              <w:pStyle w:val="TableParagraph"/>
              <w:spacing w:line="276" w:lineRule="auto"/>
              <w:ind w:left="71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Y demás especificaciones técnicas descritas en el cartel y la</w:t>
            </w:r>
            <w:r>
              <w:rPr>
                <w:b w:val="0"/>
                <w:spacing w:val="-4"/>
                <w:sz w:val="22"/>
              </w:rPr>
              <w:t> </w:t>
            </w:r>
            <w:r>
              <w:rPr>
                <w:b w:val="0"/>
                <w:sz w:val="22"/>
              </w:rPr>
              <w:t>oferta.</w:t>
            </w:r>
          </w:p>
        </w:tc>
        <w:tc>
          <w:tcPr>
            <w:tcW w:w="1983" w:type="dxa"/>
          </w:tcPr>
          <w:p>
            <w:pPr>
              <w:pStyle w:val="TableParagraph"/>
              <w:spacing w:before="3"/>
              <w:rPr>
                <w:b w:val="0"/>
                <w:sz w:val="25"/>
              </w:rPr>
            </w:pPr>
          </w:p>
          <w:p>
            <w:pPr>
              <w:pStyle w:val="TableParagraph"/>
              <w:ind w:right="424"/>
              <w:jc w:val="righ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¢280.000.00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3"/>
              <w:rPr>
                <w:b w:val="0"/>
                <w:sz w:val="25"/>
              </w:rPr>
            </w:pPr>
          </w:p>
          <w:p>
            <w:pPr>
              <w:pStyle w:val="TableParagraph"/>
              <w:ind w:left="54" w:right="43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¢4.480.000.00</w:t>
            </w:r>
          </w:p>
        </w:tc>
      </w:tr>
      <w:tr>
        <w:trPr>
          <w:trHeight w:val="309" w:hRule="atLeast"/>
        </w:trPr>
        <w:tc>
          <w:tcPr>
            <w:tcW w:w="7367" w:type="dxa"/>
            <w:gridSpan w:val="4"/>
          </w:tcPr>
          <w:p>
            <w:pPr>
              <w:pStyle w:val="TableParagraph"/>
              <w:spacing w:line="268" w:lineRule="exact"/>
              <w:ind w:left="69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Monto total adjudicado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</w:tcPr>
          <w:p>
            <w:pPr>
              <w:pStyle w:val="TableParagraph"/>
              <w:spacing w:line="268" w:lineRule="exact"/>
              <w:ind w:left="54" w:right="41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¢4.480.000.00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68" w:lineRule="exact" w:before="0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Es importante señalar que el plazo para </w:t>
      </w:r>
      <w:r>
        <w:rPr>
          <w:b w:val="0"/>
          <w:spacing w:val="14"/>
          <w:sz w:val="22"/>
        </w:rPr>
        <w:t> </w:t>
      </w:r>
      <w:r>
        <w:rPr>
          <w:b w:val="0"/>
          <w:sz w:val="22"/>
        </w:rPr>
        <w:t>adjudicar venció el 11/05/2020, no obstante; en virtud de que no se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8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logró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adjudicar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en</w:t>
      </w:r>
      <w:r>
        <w:rPr>
          <w:b w:val="0"/>
          <w:spacing w:val="7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plazo</w:t>
      </w:r>
      <w:r>
        <w:rPr>
          <w:b w:val="0"/>
          <w:spacing w:val="8"/>
          <w:sz w:val="22"/>
        </w:rPr>
        <w:t> </w:t>
      </w:r>
      <w:r>
        <w:rPr>
          <w:b w:val="0"/>
          <w:sz w:val="22"/>
        </w:rPr>
        <w:t>señalado,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13"/>
          <w:sz w:val="22"/>
        </w:rPr>
        <w:t> </w:t>
      </w:r>
      <w:r>
        <w:rPr>
          <w:b w:val="0"/>
          <w:sz w:val="22"/>
        </w:rPr>
        <w:t>conformidad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lo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que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establece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el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artículo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144</w:t>
      </w:r>
      <w:r>
        <w:rPr>
          <w:b w:val="0"/>
          <w:spacing w:val="10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9"/>
          <w:sz w:val="22"/>
        </w:rPr>
        <w:t> </w:t>
      </w:r>
      <w:r>
        <w:rPr>
          <w:b w:val="0"/>
          <w:sz w:val="22"/>
        </w:rPr>
        <w:t>Reglamento</w:t>
      </w:r>
      <w:r>
        <w:rPr>
          <w:b w:val="0"/>
          <w:spacing w:val="6"/>
          <w:sz w:val="22"/>
        </w:rPr>
        <w:t> </w:t>
      </w:r>
      <w:r>
        <w:rPr>
          <w:b w:val="0"/>
          <w:sz w:val="22"/>
        </w:rPr>
        <w:t>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la  Ley  de  Contratación  Administrativa  y  con  la  autorización  de  la  jefatura  del  Subproceso  de</w:t>
      </w:r>
      <w:r>
        <w:rPr>
          <w:b w:val="0"/>
          <w:spacing w:val="11"/>
          <w:sz w:val="22"/>
        </w:rPr>
        <w:t> </w:t>
      </w:r>
      <w:r>
        <w:rPr>
          <w:b w:val="0"/>
          <w:sz w:val="22"/>
        </w:rPr>
        <w:t>Compras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Menores el plazo fue ampliado hasta el</w:t>
      </w:r>
      <w:r>
        <w:rPr>
          <w:b w:val="0"/>
          <w:spacing w:val="-5"/>
          <w:sz w:val="22"/>
        </w:rPr>
        <w:t> </w:t>
      </w:r>
      <w:r>
        <w:rPr>
          <w:b w:val="0"/>
          <w:sz w:val="22"/>
        </w:rPr>
        <w:t>25/05/2020.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159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Monto total adjudicado es de ¢4.480.000, incluye el Impuesto al Valor</w:t>
      </w:r>
      <w:r>
        <w:rPr>
          <w:b w:val="0"/>
          <w:spacing w:val="-4"/>
          <w:sz w:val="22"/>
        </w:rPr>
        <w:t> </w:t>
      </w:r>
      <w:r>
        <w:rPr>
          <w:b w:val="0"/>
          <w:sz w:val="22"/>
        </w:rPr>
        <w:t>Agregado.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2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Todo</w:t>
      </w:r>
      <w:r>
        <w:rPr>
          <w:b w:val="0"/>
          <w:spacing w:val="45"/>
          <w:sz w:val="22"/>
        </w:rPr>
        <w:t> </w:t>
      </w:r>
      <w:r>
        <w:rPr>
          <w:b w:val="0"/>
          <w:sz w:val="22"/>
        </w:rPr>
        <w:t>lo</w:t>
      </w:r>
      <w:r>
        <w:rPr>
          <w:b w:val="0"/>
          <w:spacing w:val="42"/>
          <w:sz w:val="22"/>
        </w:rPr>
        <w:t> </w:t>
      </w:r>
      <w:r>
        <w:rPr>
          <w:b w:val="0"/>
          <w:sz w:val="22"/>
        </w:rPr>
        <w:t>anterior,</w:t>
      </w:r>
      <w:r>
        <w:rPr>
          <w:b w:val="0"/>
          <w:spacing w:val="46"/>
          <w:sz w:val="22"/>
        </w:rPr>
        <w:t> </w:t>
      </w:r>
      <w:r>
        <w:rPr>
          <w:b w:val="0"/>
          <w:sz w:val="22"/>
        </w:rPr>
        <w:t>de</w:t>
      </w:r>
      <w:r>
        <w:rPr>
          <w:b w:val="0"/>
          <w:spacing w:val="46"/>
          <w:sz w:val="22"/>
        </w:rPr>
        <w:t> </w:t>
      </w:r>
      <w:r>
        <w:rPr>
          <w:b w:val="0"/>
          <w:sz w:val="22"/>
        </w:rPr>
        <w:t>acuerdo</w:t>
      </w:r>
      <w:r>
        <w:rPr>
          <w:b w:val="0"/>
          <w:spacing w:val="45"/>
          <w:sz w:val="22"/>
        </w:rPr>
        <w:t> </w:t>
      </w:r>
      <w:r>
        <w:rPr>
          <w:b w:val="0"/>
          <w:sz w:val="22"/>
        </w:rPr>
        <w:t>con</w:t>
      </w:r>
      <w:r>
        <w:rPr>
          <w:b w:val="0"/>
          <w:spacing w:val="42"/>
          <w:sz w:val="22"/>
        </w:rPr>
        <w:t> </w:t>
      </w:r>
      <w:r>
        <w:rPr>
          <w:b w:val="0"/>
          <w:sz w:val="22"/>
        </w:rPr>
        <w:t>los</w:t>
      </w:r>
      <w:r>
        <w:rPr>
          <w:b w:val="0"/>
          <w:spacing w:val="46"/>
          <w:sz w:val="22"/>
        </w:rPr>
        <w:t> </w:t>
      </w:r>
      <w:r>
        <w:rPr>
          <w:b w:val="0"/>
          <w:sz w:val="22"/>
        </w:rPr>
        <w:t>términos</w:t>
      </w:r>
      <w:r>
        <w:rPr>
          <w:b w:val="0"/>
          <w:spacing w:val="43"/>
          <w:sz w:val="22"/>
        </w:rPr>
        <w:t> </w:t>
      </w:r>
      <w:r>
        <w:rPr>
          <w:b w:val="0"/>
          <w:sz w:val="22"/>
        </w:rPr>
        <w:t>y</w:t>
      </w:r>
      <w:r>
        <w:rPr>
          <w:b w:val="0"/>
          <w:spacing w:val="45"/>
          <w:sz w:val="22"/>
        </w:rPr>
        <w:t> </w:t>
      </w:r>
      <w:r>
        <w:rPr>
          <w:b w:val="0"/>
          <w:sz w:val="22"/>
        </w:rPr>
        <w:t>condiciones</w:t>
      </w:r>
      <w:r>
        <w:rPr>
          <w:b w:val="0"/>
          <w:spacing w:val="44"/>
          <w:sz w:val="22"/>
        </w:rPr>
        <w:t> </w:t>
      </w:r>
      <w:r>
        <w:rPr>
          <w:b w:val="0"/>
          <w:sz w:val="22"/>
        </w:rPr>
        <w:t>del</w:t>
      </w:r>
      <w:r>
        <w:rPr>
          <w:b w:val="0"/>
          <w:spacing w:val="44"/>
          <w:sz w:val="22"/>
        </w:rPr>
        <w:t> </w:t>
      </w:r>
      <w:r>
        <w:rPr>
          <w:b w:val="0"/>
          <w:sz w:val="22"/>
        </w:rPr>
        <w:t>cartel.</w:t>
      </w:r>
      <w:r>
        <w:rPr>
          <w:b w:val="0"/>
          <w:spacing w:val="44"/>
          <w:sz w:val="22"/>
        </w:rPr>
        <w:t> </w:t>
      </w:r>
      <w:r>
        <w:rPr>
          <w:b w:val="0"/>
          <w:sz w:val="22"/>
        </w:rPr>
        <w:t>Licda.</w:t>
      </w:r>
      <w:r>
        <w:rPr>
          <w:b w:val="0"/>
          <w:spacing w:val="45"/>
          <w:sz w:val="22"/>
        </w:rPr>
        <w:t> </w:t>
      </w:r>
      <w:r>
        <w:rPr>
          <w:b w:val="0"/>
          <w:sz w:val="22"/>
        </w:rPr>
        <w:t>Brenda</w:t>
      </w:r>
      <w:r>
        <w:rPr>
          <w:b w:val="0"/>
          <w:spacing w:val="45"/>
          <w:sz w:val="22"/>
        </w:rPr>
        <w:t> </w:t>
      </w:r>
      <w:r>
        <w:rPr>
          <w:b w:val="0"/>
          <w:sz w:val="22"/>
        </w:rPr>
        <w:t>Alpízar</w:t>
      </w:r>
      <w:r>
        <w:rPr>
          <w:b w:val="0"/>
          <w:spacing w:val="45"/>
          <w:sz w:val="22"/>
        </w:rPr>
        <w:t> </w:t>
      </w:r>
      <w:r>
        <w:rPr>
          <w:b w:val="0"/>
          <w:sz w:val="22"/>
        </w:rPr>
        <w:t>Jara,</w:t>
      </w:r>
      <w:r>
        <w:rPr>
          <w:b w:val="0"/>
          <w:spacing w:val="46"/>
          <w:sz w:val="22"/>
        </w:rPr>
        <w:t> </w:t>
      </w:r>
      <w:r>
        <w:rPr>
          <w:b w:val="0"/>
          <w:sz w:val="22"/>
        </w:rPr>
        <w:t>jefa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 w:val="0"/>
          <w:sz w:val="22"/>
        </w:rPr>
      </w:pPr>
      <w:r>
        <w:rPr>
          <w:b w:val="0"/>
          <w:sz w:val="22"/>
        </w:rPr>
        <w:t>Subproceso Compras Menores. MBA. Yurly Argüello Araya, jefa Proceso de Adquisiciones. DLC</w:t>
      </w:r>
    </w:p>
    <w:p>
      <w:pPr>
        <w:pStyle w:val="BodyText"/>
        <w:tabs>
          <w:tab w:pos="672" w:val="left" w:leader="none"/>
        </w:tabs>
        <w:spacing w:line="235" w:lineRule="exact"/>
        <w:ind w:left="111" w:firstLine="0"/>
        <w:rPr>
          <w:b w:val="0"/>
        </w:rPr>
      </w:pPr>
      <w:r>
        <w:rPr/>
        <w:pict>
          <v:shape style="position:absolute;margin-left:118.515846pt;margin-top:15.20188pt;width:23.7pt;height:23.55pt;mso-position-horizontal-relative:page;mso-position-vertical-relative:paragraph;z-index:-15880192" coordorigin="2370,304" coordsize="474,471" path="m2456,675l2414,702,2388,728,2374,750,2370,767,2370,774,2407,774,2409,773,2379,773,2384,756,2399,731,2424,703,2456,675xm2573,304l2563,310,2559,325,2557,341,2557,358,2557,364,2558,375,2559,388,2561,400,2564,413,2567,426,2570,439,2573,452,2559,496,2524,577,2477,668,2426,743,2379,773,2409,773,2411,773,2436,751,2466,713,2502,656,2507,654,2502,654,2536,592,2559,544,2573,507,2582,479,2599,479,2588,451,2591,426,2582,426,2576,405,2572,384,2570,365,2570,353,2570,341,2571,328,2574,316,2580,307,2591,307,2585,305,2573,304xm2839,653l2826,653,2820,658,2820,671,2826,676,2839,676,2842,674,2827,674,2823,670,2823,660,2827,656,2842,656,2839,653xm2842,656l2838,656,2841,660,2841,670,2838,674,2842,674,2844,671,2844,658,2842,656xm2835,657l2828,657,2828,671,2830,671,2830,666,2836,666,2836,665,2834,665,2836,664,2837,664,2830,664,2830,660,2837,660,2837,659,2835,657xm2836,666l2833,666,2834,667,2834,669,2835,671,2837,671,2837,670,2837,667,2836,666xm2837,660l2834,660,2834,661,2834,663,2833,664,2837,664,2837,662,2837,660xm2599,479l2582,479,2608,531,2635,567,2660,589,2681,603,2637,611,2592,623,2546,637,2502,654,2507,654,2547,642,2597,630,2648,621,2698,615,2735,615,2727,611,2760,610,2834,610,2822,603,2804,599,2706,599,2694,593,2683,586,2673,579,2662,571,2638,547,2618,518,2601,485,2599,479xm2735,615l2698,615,2730,629,2761,640,2790,647,2814,649,2829,649,2837,646,2838,641,2824,641,2805,639,2782,633,2755,624,2735,615xm2839,638l2836,639,2831,641,2838,641,2839,638xm2834,610l2760,610,2798,611,2829,618,2841,633,2843,629,2844,628,2844,624,2838,612,2834,610xm2764,596l2751,596,2737,597,2706,599,2804,599,2796,598,2764,596xm2596,344l2594,358,2591,376,2587,399,2582,426,2591,426,2592,423,2594,396,2595,370,2596,344xm2591,307l2580,307,2586,310,2595,317,2596,335,2598,317,2594,308,2591,307xe" filled="true" fillcolor="#ffd8d8" stroked="false">
            <v:path arrowok="t"/>
            <v:fill type="solid"/>
            <w10:wrap type="none"/>
          </v:shape>
        </w:pict>
      </w:r>
      <w:r>
        <w:rPr/>
        <w:pict>
          <v:shape style="position:absolute;margin-left:296.62561pt;margin-top:13.23388pt;width:25.15pt;height:24.95pt;mso-position-horizontal-relative:page;mso-position-vertical-relative:paragraph;z-index:-15879680" coordorigin="5933,265" coordsize="503,499" path="m6023,658l5979,686,5951,714,5937,737,5933,755,5933,763,5971,763,5974,762,5942,762,5947,743,5963,717,5989,687,6023,658xm6147,265l6137,271,6132,287,6130,304,6130,322,6130,328,6131,340,6133,353,6135,366,6137,380,6140,394,6144,408,6147,422,6133,468,6096,554,6046,650,5991,729,5942,762,5974,762,5976,761,6002,738,6034,698,6072,637,6077,636,6072,636,6108,569,6132,518,6148,480,6156,450,6174,450,6163,420,6167,394,6156,394,6151,372,6147,350,6144,330,6144,317,6144,303,6145,290,6148,277,6154,268,6167,268,6160,265,6147,265xm6429,635l6415,635,6409,640,6409,654,6415,659,6429,659,6432,656,6417,656,6412,652,6412,641,6417,637,6432,637,6429,635xm6432,637l6428,637,6431,641,6431,652,6428,656,6432,656,6435,654,6435,640,6432,637xm6425,639l6417,639,6417,654,6420,654,6420,648,6426,648,6426,648,6424,647,6426,647,6427,646,6420,646,6420,642,6427,642,6427,641,6425,639xm6426,648l6423,648,6424,650,6424,651,6425,654,6427,654,6427,651,6427,649,6426,648xm6427,642l6423,642,6424,642,6424,646,6423,646,6427,646,6427,644,6427,642xm6174,450l6156,450,6184,505,6213,543,6239,567,6261,581,6215,590,6167,602,6119,617,6072,636,6077,636,6120,623,6172,610,6226,601,6280,594,6318,594,6310,590,6345,589,6424,589,6411,582,6392,578,6288,578,6276,571,6264,563,6253,556,6242,548,6216,522,6195,491,6177,456,6174,450xm6318,594l6280,594,6314,609,6347,620,6377,628,6403,630,6419,630,6427,627,6429,622,6414,622,6393,620,6368,613,6340,603,6318,594xm6429,618l6426,620,6420,622,6429,622,6429,618xm6424,589l6345,589,6385,590,6418,597,6431,613,6433,609,6435,608,6435,604,6428,591,6424,589xm6349,574l6335,574,6321,575,6288,578,6392,578,6384,576,6349,574xm6172,307l6169,322,6166,341,6162,365,6156,394,6167,394,6167,391,6170,363,6171,335,6172,307xm6167,268l6154,268,6162,271,6170,278,6172,297,6174,278,6169,269,6167,268xe" filled="true" fillcolor="#ffd8d8" stroked="false">
            <v:path arrowok="t"/>
            <v:fill type="solid"/>
            <w10:wrap type="none"/>
          </v:shape>
        </w:pict>
      </w:r>
      <w:r>
        <w:rPr>
          <w:rFonts w:ascii="Times New Roman"/>
          <w:sz w:val="20"/>
        </w:rPr>
        <w:t>93</w:t>
        <w:tab/>
      </w:r>
      <w:r>
        <w:rPr>
          <w:b w:val="0"/>
        </w:rPr>
        <w:t>****************************************************************************************</w:t>
      </w:r>
    </w:p>
    <w:p>
      <w:pPr>
        <w:spacing w:after="0" w:line="235" w:lineRule="exact"/>
        <w:sectPr>
          <w:pgSz w:w="12240" w:h="15840"/>
          <w:pgMar w:top="1060" w:bottom="280" w:left="460" w:right="740"/>
        </w:sectPr>
      </w:pPr>
    </w:p>
    <w:p>
      <w:pPr>
        <w:pStyle w:val="BodyText"/>
        <w:spacing w:before="5"/>
        <w:ind w:left="0" w:firstLine="0"/>
        <w:rPr>
          <w:b w:val="0"/>
          <w:sz w:val="20"/>
        </w:rPr>
      </w:pPr>
    </w:p>
    <w:p>
      <w:pPr>
        <w:spacing w:before="1"/>
        <w:ind w:left="813" w:right="0" w:firstLine="0"/>
        <w:jc w:val="left"/>
        <w:rPr>
          <w:rFonts w:ascii="Calibri"/>
          <w:sz w:val="18"/>
        </w:rPr>
      </w:pPr>
      <w:r>
        <w:rPr>
          <w:rFonts w:ascii="Calibri"/>
          <w:w w:val="105"/>
          <w:sz w:val="18"/>
        </w:rPr>
        <w:t>JARA</w:t>
      </w:r>
      <w:r>
        <w:rPr>
          <w:rFonts w:ascii="Calibri"/>
          <w:spacing w:val="-23"/>
          <w:w w:val="105"/>
          <w:sz w:val="18"/>
        </w:rPr>
        <w:t> </w:t>
      </w:r>
      <w:r>
        <w:rPr>
          <w:rFonts w:ascii="Calibri"/>
          <w:spacing w:val="-3"/>
          <w:w w:val="105"/>
          <w:sz w:val="18"/>
        </w:rPr>
        <w:t>(FIRMA)</w:t>
      </w:r>
    </w:p>
    <w:p>
      <w:pPr>
        <w:spacing w:line="235" w:lineRule="auto" w:before="16"/>
        <w:ind w:left="304" w:right="0" w:firstLine="0"/>
        <w:jc w:val="left"/>
        <w:rPr>
          <w:rFonts w:ascii="Calibri"/>
          <w:sz w:val="10"/>
        </w:rPr>
      </w:pPr>
      <w:r>
        <w:rPr/>
        <w:br w:type="column"/>
      </w:r>
      <w:r>
        <w:rPr>
          <w:rFonts w:ascii="Calibri"/>
          <w:sz w:val="10"/>
        </w:rPr>
        <w:t>Firmado digitalmente por BRENDA ALPIZAR JARA (FIRMA) Fecha: 2020.05.15 16:31:28</w:t>
      </w:r>
    </w:p>
    <w:p>
      <w:pPr>
        <w:spacing w:line="118" w:lineRule="exact" w:before="0"/>
        <w:ind w:left="304" w:right="0" w:firstLine="0"/>
        <w:jc w:val="left"/>
        <w:rPr>
          <w:rFonts w:ascii="Calibri"/>
          <w:sz w:val="1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.662849pt;margin-top:-15.598434pt;width:66.05pt;height:9.1pt;mso-position-horizontal-relative:page;mso-position-vertical-relative:paragraph;z-index:15730176" type="#_x0000_t202" filled="false" stroked="false">
            <v:textbox inset="0,0,0,0">
              <w:txbxContent>
                <w:p>
                  <w:pPr>
                    <w:spacing w:line="181" w:lineRule="exact" w:before="0"/>
                    <w:ind w:left="0" w:right="0" w:firstLine="0"/>
                    <w:jc w:val="left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w w:val="105"/>
                      <w:sz w:val="18"/>
                    </w:rPr>
                    <w:t>BRENDA</w:t>
                  </w:r>
                  <w:r>
                    <w:rPr>
                      <w:rFonts w:ascii="Calibri"/>
                      <w:spacing w:val="-3"/>
                      <w:w w:val="105"/>
                      <w:sz w:val="18"/>
                    </w:rPr>
                    <w:t> ALPIZAR</w:t>
                  </w:r>
                </w:p>
              </w:txbxContent>
            </v:textbox>
            <w10:wrap type="none"/>
          </v:shape>
        </w:pict>
      </w:r>
      <w:r>
        <w:rPr>
          <w:rFonts w:ascii="Calibri"/>
          <w:sz w:val="10"/>
        </w:rPr>
        <w:t>-06'00'</w:t>
      </w:r>
    </w:p>
    <w:p>
      <w:pPr>
        <w:spacing w:line="71" w:lineRule="exact" w:before="0"/>
        <w:ind w:left="1889" w:right="0" w:firstLine="0"/>
        <w:jc w:val="left"/>
        <w:rPr>
          <w:rFonts w:ascii="Calibri"/>
          <w:sz w:val="8"/>
        </w:rPr>
      </w:pPr>
      <w:r>
        <w:rPr/>
        <w:br w:type="column"/>
      </w:r>
      <w:r>
        <w:rPr>
          <w:rFonts w:ascii="Calibri"/>
          <w:w w:val="105"/>
          <w:sz w:val="8"/>
        </w:rPr>
        <w:t>Firmado digitalmente</w:t>
      </w:r>
      <w:r>
        <w:rPr>
          <w:rFonts w:ascii="Calibri"/>
          <w:spacing w:val="-2"/>
          <w:w w:val="105"/>
          <w:sz w:val="8"/>
        </w:rPr>
        <w:t> </w:t>
      </w:r>
      <w:r>
        <w:rPr>
          <w:rFonts w:ascii="Calibri"/>
          <w:w w:val="105"/>
          <w:sz w:val="8"/>
        </w:rPr>
        <w:t>por</w:t>
      </w:r>
    </w:p>
    <w:p>
      <w:pPr>
        <w:spacing w:line="134" w:lineRule="exact" w:before="0"/>
        <w:ind w:left="813" w:right="0" w:firstLine="0"/>
        <w:jc w:val="left"/>
        <w:rPr>
          <w:rFonts w:ascii="Calibri"/>
          <w:sz w:val="8"/>
        </w:rPr>
      </w:pPr>
      <w:r>
        <w:rPr>
          <w:rFonts w:ascii="Calibri"/>
          <w:w w:val="105"/>
          <w:position w:val="-2"/>
          <w:sz w:val="14"/>
        </w:rPr>
        <w:t>YURLI ARGUELLO </w:t>
      </w:r>
      <w:r>
        <w:rPr>
          <w:rFonts w:ascii="Calibri"/>
          <w:w w:val="105"/>
          <w:sz w:val="8"/>
        </w:rPr>
        <w:t>YURLI ARGUELLO </w:t>
      </w:r>
      <w:r>
        <w:rPr>
          <w:rFonts w:ascii="Calibri"/>
          <w:spacing w:val="4"/>
          <w:w w:val="105"/>
          <w:sz w:val="8"/>
        </w:rPr>
        <w:t> </w:t>
      </w:r>
      <w:r>
        <w:rPr>
          <w:rFonts w:ascii="Calibri"/>
          <w:w w:val="105"/>
          <w:sz w:val="8"/>
        </w:rPr>
        <w:t>ARAYA</w:t>
      </w:r>
    </w:p>
    <w:p>
      <w:pPr>
        <w:spacing w:line="50" w:lineRule="exact" w:before="0"/>
        <w:ind w:left="1889" w:right="0" w:firstLine="0"/>
        <w:jc w:val="left"/>
        <w:rPr>
          <w:rFonts w:ascii="Calibri"/>
          <w:sz w:val="8"/>
        </w:rPr>
      </w:pPr>
      <w:r>
        <w:rPr>
          <w:rFonts w:ascii="Calibri"/>
          <w:sz w:val="8"/>
        </w:rPr>
        <w:t>(FIRMA)</w:t>
      </w:r>
    </w:p>
    <w:p>
      <w:pPr>
        <w:spacing w:line="134" w:lineRule="exact" w:before="0"/>
        <w:ind w:left="813" w:right="0" w:firstLine="0"/>
        <w:jc w:val="left"/>
        <w:rPr>
          <w:rFonts w:ascii="Calibri"/>
          <w:sz w:val="8"/>
        </w:rPr>
      </w:pPr>
      <w:r>
        <w:rPr>
          <w:rFonts w:ascii="Calibri"/>
          <w:sz w:val="14"/>
        </w:rPr>
        <w:t>ARAYA (FIRMA) </w:t>
      </w:r>
      <w:r>
        <w:rPr>
          <w:rFonts w:ascii="Calibri"/>
          <w:position w:val="1"/>
          <w:sz w:val="8"/>
        </w:rPr>
        <w:t>Fecha: 2020.05.15 19:35:24</w:t>
      </w:r>
    </w:p>
    <w:p>
      <w:pPr>
        <w:spacing w:line="86" w:lineRule="exact" w:before="0"/>
        <w:ind w:left="1889" w:right="0" w:firstLine="0"/>
        <w:jc w:val="left"/>
        <w:rPr>
          <w:rFonts w:ascii="Calibri"/>
          <w:sz w:val="8"/>
        </w:rPr>
      </w:pPr>
      <w:r>
        <w:rPr>
          <w:rFonts w:ascii="Calibri"/>
          <w:sz w:val="8"/>
        </w:rPr>
        <w:t>-06'00'</w:t>
      </w:r>
    </w:p>
    <w:sectPr>
      <w:type w:val="continuous"/>
      <w:pgSz w:w="12240" w:h="15840"/>
      <w:pgMar w:top="0" w:bottom="0" w:left="460" w:right="740"/>
      <w:cols w:num="3" w:equalWidth="0">
        <w:col w:w="1828" w:space="40"/>
        <w:col w:w="1643" w:space="342"/>
        <w:col w:w="718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egoe UI Semilight">
    <w:altName w:val="Segoe UI Semilight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30"/>
      <w:numFmt w:val="decimal"/>
      <w:lvlText w:val="%1"/>
      <w:lvlJc w:val="left"/>
      <w:pPr>
        <w:ind w:left="672" w:hanging="562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16" w:hanging="56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52" w:hanging="5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88" w:hanging="5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24" w:hanging="5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60" w:hanging="5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96" w:hanging="5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32" w:hanging="5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8" w:hanging="562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4156" w:hanging="3945"/>
        <w:jc w:val="right"/>
      </w:pPr>
      <w:rPr>
        <w:rFonts w:hint="default" w:ascii="Times New Roman" w:hAnsi="Times New Roman" w:eastAsia="Times New Roman" w:cs="Times New Roman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848" w:hanging="39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536" w:hanging="39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224" w:hanging="39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912" w:hanging="39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600" w:hanging="39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288" w:hanging="39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76" w:hanging="39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64" w:hanging="3945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41"/>
      <w:ind w:left="672" w:hanging="562"/>
    </w:pPr>
    <w:rPr>
      <w:rFonts w:ascii="Calibri Light" w:hAnsi="Calibri Light" w:eastAsia="Calibri Light" w:cs="Calibri Light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8"/>
      <w:outlineLvl w:val="1"/>
    </w:pPr>
    <w:rPr>
      <w:rFonts w:ascii="Calibri Light" w:hAnsi="Calibri Light" w:eastAsia="Calibri Light" w:cs="Calibri Light"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05"/>
      <w:ind w:left="608" w:right="776"/>
    </w:pPr>
    <w:rPr>
      <w:rFonts w:ascii="Segoe UI Semilight" w:hAnsi="Segoe UI Semilight" w:eastAsia="Segoe UI Semilight" w:cs="Segoe UI Semilight"/>
      <w:sz w:val="25"/>
      <w:szCs w:val="25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41"/>
      <w:ind w:left="672" w:hanging="562"/>
    </w:pPr>
    <w:rPr>
      <w:rFonts w:ascii="Calibri Light" w:hAnsi="Calibri Light" w:eastAsia="Calibri Light" w:cs="Calibri Ligh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 Light" w:hAnsi="Calibri Light" w:eastAsia="Calibri Light" w:cs="Calibri Light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lopezc@Poder-Judicial.go.cr" TargetMode="External"/><Relationship Id="rId6" Type="http://schemas.openxmlformats.org/officeDocument/2006/relationships/hyperlink" Target="mailto:sepresa@ice.co.cr" TargetMode="External"/><Relationship Id="rId7" Type="http://schemas.openxmlformats.org/officeDocument/2006/relationships/hyperlink" Target="mailto:gyrventas@ice.co.cr" TargetMode="External"/><Relationship Id="rId8" Type="http://schemas.openxmlformats.org/officeDocument/2006/relationships/hyperlink" Target="mailto:kjimenezr@Poder-Judicial.go.cr" TargetMode="External"/><Relationship Id="rId9" Type="http://schemas.openxmlformats.org/officeDocument/2006/relationships/image" Target="media/image1.png"/><Relationship Id="rId10" Type="http://schemas.openxmlformats.org/officeDocument/2006/relationships/image" Target="media/image2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Poder Judicial</dc:creator>
  <dc:title>PODER JUCIAL</dc:title>
  <dcterms:created xsi:type="dcterms:W3CDTF">2020-06-04T17:19:02Z</dcterms:created>
  <dcterms:modified xsi:type="dcterms:W3CDTF">2020-06-04T17:19:02Z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2020-06-04T00:00:00Z</vt:filetime>
  </property>
</Properties>
</file>