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2E" w:rsidRDefault="0074542E">
      <w:pPr>
        <w:pStyle w:val="Textoindependiente"/>
        <w:rPr>
          <w:rFonts w:ascii="Times New Roman"/>
          <w:sz w:val="20"/>
        </w:rPr>
      </w:pPr>
    </w:p>
    <w:p w:rsidR="0074542E" w:rsidRDefault="0074542E">
      <w:pPr>
        <w:pStyle w:val="Textoindependiente"/>
        <w:spacing w:before="4"/>
        <w:rPr>
          <w:rFonts w:ascii="Times New Roman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67"/>
      </w:tblGrid>
      <w:tr w:rsidR="0074542E">
        <w:trPr>
          <w:trHeight w:val="708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74542E" w:rsidRDefault="00943B81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74542E" w:rsidRDefault="00943B81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50105 - Equipo de cómputo</w:t>
            </w:r>
          </w:p>
        </w:tc>
        <w:tc>
          <w:tcPr>
            <w:tcW w:w="2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74542E" w:rsidRDefault="00943B81">
            <w:pPr>
              <w:pStyle w:val="TableParagraph"/>
              <w:spacing w:before="86"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74542E" w:rsidRDefault="00943B81"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74542E">
        <w:trPr>
          <w:trHeight w:val="546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74542E" w:rsidRDefault="00943B81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301-200121-20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74542E" w:rsidRDefault="00943B81"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4,700,000.00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74542E" w:rsidRDefault="00943B81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4,260,572.10</w:t>
            </w:r>
          </w:p>
        </w:tc>
      </w:tr>
      <w:tr w:rsidR="0074542E">
        <w:trPr>
          <w:trHeight w:val="549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74542E" w:rsidRDefault="00943B81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Zéntrico Solutions S. A.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4542E" w:rsidRDefault="00943B8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542E" w:rsidRDefault="0074542E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4542E" w:rsidRDefault="00943B81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3-101-596451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74542E" w:rsidRDefault="00943B81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22342656</w:t>
            </w:r>
          </w:p>
        </w:tc>
      </w:tr>
      <w:tr w:rsidR="0074542E">
        <w:trPr>
          <w:trHeight w:val="549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74542E" w:rsidRDefault="00943B81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280 - Colocación de Títulos Valores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74542E" w:rsidRDefault="00943B81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T.C USD $ al 29/05/2020</w:t>
            </w:r>
          </w:p>
          <w:p w:rsidR="0074542E" w:rsidRDefault="00943B81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¢ 576.11</w:t>
            </w:r>
          </w:p>
        </w:tc>
      </w:tr>
      <w:tr w:rsidR="0074542E">
        <w:trPr>
          <w:trHeight w:val="703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74542E" w:rsidRDefault="00943B81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74542E" w:rsidRDefault="00943B81">
            <w:pPr>
              <w:pStyle w:val="TableParagraph"/>
              <w:spacing w:before="101" w:line="235" w:lineRule="auto"/>
              <w:ind w:left="176" w:right="816"/>
              <w:rPr>
                <w:sz w:val="16"/>
              </w:rPr>
            </w:pPr>
            <w:r>
              <w:rPr>
                <w:sz w:val="16"/>
              </w:rPr>
              <w:t>667 - ADMINISTRACION REGIONAL CIUDAD JUDICIAL SAN JOAQUIN DE FLORES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74542E">
        <w:trPr>
          <w:trHeight w:val="268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74542E">
        <w:trPr>
          <w:trHeight w:val="487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43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74542E" w:rsidRDefault="00943B81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46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74542E">
        <w:trPr>
          <w:trHeight w:val="100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23795 - LECTOR DE CODIGO DE BARRAS DATA MATRIX</w:t>
            </w:r>
          </w:p>
          <w:p w:rsidR="0074542E" w:rsidRDefault="00943B81">
            <w:pPr>
              <w:pStyle w:val="TableParagraph"/>
              <w:spacing w:before="1" w:line="235" w:lineRule="auto"/>
              <w:ind w:left="21" w:right="47"/>
              <w:rPr>
                <w:sz w:val="16"/>
              </w:rPr>
            </w:pPr>
            <w:r>
              <w:rPr>
                <w:sz w:val="16"/>
              </w:rPr>
              <w:t>Lectores de código de barras Data Matrix marca Newland modelo HR22, versión V 101, QR code 1400, conexión USB. Que incluya instalación, software, manuales y verificación de funcionamiento.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left="418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146,475.9675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439,427.90</w:t>
            </w:r>
          </w:p>
        </w:tc>
      </w:tr>
      <w:tr w:rsidR="0074542E">
        <w:trPr>
          <w:trHeight w:val="509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70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Todo de acuerdo a las especificaciones técnicas solicitadas</w:t>
            </w:r>
          </w:p>
          <w:p w:rsidR="0074542E" w:rsidRDefault="00943B81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en el cartel y lo indicado en la oferta.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42E">
        <w:trPr>
          <w:trHeight w:val="169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73" w:line="235" w:lineRule="auto"/>
              <w:ind w:left="21" w:right="1301"/>
              <w:rPr>
                <w:sz w:val="16"/>
              </w:rPr>
            </w:pPr>
            <w:r>
              <w:rPr>
                <w:sz w:val="16"/>
              </w:rPr>
              <w:t>Precio Unitario Moneda Cotizada: $254.25 Monto Total Moneda Cotizada: $762.75 Garantía: 12 Meses</w:t>
            </w:r>
          </w:p>
          <w:p w:rsidR="0074542E" w:rsidRDefault="00943B81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40 días hábiles</w:t>
            </w:r>
          </w:p>
          <w:p w:rsidR="0074542E" w:rsidRDefault="00943B81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Entregar en las Bodegas de la</w:t>
            </w:r>
          </w:p>
          <w:p w:rsidR="0074542E" w:rsidRDefault="00943B81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Proveeduría - Ciudad Judicial - San Joaquín de Flores –</w:t>
            </w:r>
          </w:p>
          <w:p w:rsidR="0074542E" w:rsidRDefault="00943B81">
            <w:pPr>
              <w:pStyle w:val="TableParagraph"/>
              <w:spacing w:before="4" w:line="180" w:lineRule="exact"/>
              <w:ind w:left="21" w:right="198"/>
              <w:rPr>
                <w:sz w:val="16"/>
              </w:rPr>
            </w:pPr>
            <w:r>
              <w:rPr>
                <w:sz w:val="16"/>
              </w:rPr>
              <w:t>Heredia. Coordinar previamente con Gerardo Rodríguez al teléfono 2295-3205. Posteriormente coordinar con Xinia Barrantes de la Sección Bioquímica al tel</w:t>
            </w:r>
            <w:r>
              <w:rPr>
                <w:sz w:val="16"/>
              </w:rPr>
              <w:t>éfono 2267-1051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42E">
        <w:trPr>
          <w:trHeight w:val="704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line="167" w:lineRule="exact"/>
              <w:ind w:left="21"/>
              <w:rPr>
                <w:sz w:val="16"/>
              </w:rPr>
            </w:pPr>
            <w:r>
              <w:rPr>
                <w:sz w:val="16"/>
              </w:rPr>
              <w:t>Tipo Moneda Cotizada: USD</w:t>
            </w:r>
          </w:p>
          <w:p w:rsidR="0074542E" w:rsidRDefault="00943B81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Factor de Cambio: 1.0000</w:t>
            </w:r>
          </w:p>
          <w:p w:rsidR="0074542E" w:rsidRDefault="00943B81">
            <w:pPr>
              <w:pStyle w:val="TableParagraph"/>
              <w:spacing w:before="4" w:line="180" w:lineRule="exact"/>
              <w:ind w:left="21" w:right="1301"/>
              <w:rPr>
                <w:sz w:val="16"/>
              </w:rPr>
            </w:pPr>
            <w:r>
              <w:rPr>
                <w:sz w:val="16"/>
              </w:rPr>
              <w:t>Precio Unitario Moneda Cotizada: $ 254.25 Monto Total Moneda Cotizada: $ 762.75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42E">
        <w:trPr>
          <w:trHeight w:val="183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$ 762.75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542E">
        <w:trPr>
          <w:trHeight w:val="206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10"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42E">
        <w:trPr>
          <w:trHeight w:val="246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¢ 439,427.90</w:t>
            </w:r>
          </w:p>
        </w:tc>
      </w:tr>
      <w:tr w:rsidR="0074542E">
        <w:trPr>
          <w:trHeight w:val="268"/>
        </w:trPr>
        <w:tc>
          <w:tcPr>
            <w:tcW w:w="4776" w:type="dxa"/>
            <w:gridSpan w:val="7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 w:rsidR="0074542E" w:rsidRDefault="00943B81"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7" w:type="dxa"/>
            <w:tcBorders>
              <w:top w:val="thickThinMediumGap" w:sz="4" w:space="0" w:color="000000"/>
              <w:left w:val="nil"/>
              <w:bottom w:val="nil"/>
            </w:tcBorders>
          </w:tcPr>
          <w:p w:rsidR="0074542E" w:rsidRDefault="00943B81">
            <w:pPr>
              <w:pStyle w:val="TableParagraph"/>
              <w:spacing w:before="44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439,427.90</w:t>
            </w:r>
          </w:p>
        </w:tc>
      </w:tr>
      <w:tr w:rsidR="0074542E">
        <w:trPr>
          <w:trHeight w:val="259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before="75"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(CUATROCIENTOS TREINTA Y NUEVE MIL CUATROCIENTOS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4542E" w:rsidRDefault="00943B81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:rsidR="0074542E" w:rsidRDefault="00943B81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439,427.90</w:t>
            </w:r>
          </w:p>
        </w:tc>
      </w:tr>
      <w:tr w:rsidR="0074542E">
        <w:trPr>
          <w:trHeight w:val="259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 w:rsidR="0074542E" w:rsidRDefault="00943B81"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VEINTISIETE COLONES 90/100)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4542E" w:rsidRDefault="00943B81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:rsidR="0074542E" w:rsidRDefault="00943B81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7,777.48</w:t>
            </w:r>
          </w:p>
        </w:tc>
      </w:tr>
      <w:tr w:rsidR="0074542E">
        <w:trPr>
          <w:trHeight w:val="490"/>
        </w:trPr>
        <w:tc>
          <w:tcPr>
            <w:tcW w:w="4776" w:type="dxa"/>
            <w:gridSpan w:val="7"/>
            <w:tcBorders>
              <w:top w:val="nil"/>
              <w:right w:val="single" w:sz="8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 w:rsidR="0074542E" w:rsidRDefault="00943B81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7" w:type="dxa"/>
            <w:tcBorders>
              <w:top w:val="nil"/>
              <w:left w:val="nil"/>
            </w:tcBorders>
          </w:tcPr>
          <w:p w:rsidR="0074542E" w:rsidRDefault="00943B81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431,650.42</w:t>
            </w:r>
          </w:p>
        </w:tc>
      </w:tr>
    </w:tbl>
    <w:p w:rsidR="0074542E" w:rsidRDefault="0074542E">
      <w:pPr>
        <w:jc w:val="right"/>
        <w:rPr>
          <w:sz w:val="16"/>
        </w:rPr>
        <w:sectPr w:rsidR="0074542E">
          <w:headerReference w:type="default" r:id="rId6"/>
          <w:footerReference w:type="default" r:id="rId7"/>
          <w:type w:val="continuous"/>
          <w:pgSz w:w="11910" w:h="16840"/>
          <w:pgMar w:top="1220" w:right="600" w:bottom="3960" w:left="520" w:header="465" w:footer="3779" w:gutter="0"/>
          <w:pgNumType w:start="1"/>
          <w:cols w:space="720"/>
        </w:sectPr>
      </w:pPr>
    </w:p>
    <w:p w:rsidR="0074542E" w:rsidRDefault="00943B81">
      <w:pPr>
        <w:pStyle w:val="Heading1"/>
        <w:spacing w:before="84"/>
        <w:ind w:left="5062"/>
      </w:pPr>
      <w:r>
        <w:lastRenderedPageBreak/>
        <w:t>PARA USO EXCLUSIVO DEL PODER JUDICIAL</w:t>
      </w:r>
    </w:p>
    <w:p w:rsidR="0074542E" w:rsidRDefault="0074542E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4734"/>
        <w:gridCol w:w="5574"/>
      </w:tblGrid>
      <w:tr w:rsidR="0074542E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74542E" w:rsidRDefault="007454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2E" w:rsidRDefault="00943B81">
            <w:pPr>
              <w:pStyle w:val="TableParagraph"/>
              <w:tabs>
                <w:tab w:val="left" w:pos="4610"/>
              </w:tabs>
              <w:spacing w:before="2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439,427.90</w:t>
            </w:r>
          </w:p>
          <w:p w:rsidR="0074542E" w:rsidRDefault="00943B81">
            <w:pPr>
              <w:pStyle w:val="TableParagraph"/>
              <w:tabs>
                <w:tab w:val="left" w:pos="5099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  <w:t>¢ 0.00</w:t>
            </w:r>
          </w:p>
          <w:p w:rsidR="0074542E" w:rsidRDefault="00943B81">
            <w:pPr>
              <w:pStyle w:val="TableParagraph"/>
              <w:tabs>
                <w:tab w:val="left" w:pos="4610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 439,427.90</w:t>
            </w:r>
          </w:p>
        </w:tc>
      </w:tr>
      <w:tr w:rsidR="0074542E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74542E" w:rsidRDefault="00943B81">
            <w:pPr>
              <w:pStyle w:val="TableParagraph"/>
              <w:tabs>
                <w:tab w:val="left" w:pos="3749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¢ 388,874.24</w:t>
            </w:r>
          </w:p>
          <w:p w:rsidR="0074542E" w:rsidRDefault="00943B81">
            <w:pPr>
              <w:pStyle w:val="TableParagraph"/>
              <w:tabs>
                <w:tab w:val="left" w:pos="3838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50,553.66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2E" w:rsidRDefault="0074542E">
            <w:pPr>
              <w:rPr>
                <w:sz w:val="2"/>
                <w:szCs w:val="2"/>
              </w:rPr>
            </w:pPr>
          </w:p>
        </w:tc>
      </w:tr>
    </w:tbl>
    <w:p w:rsidR="0074542E" w:rsidRDefault="0074542E">
      <w:pPr>
        <w:rPr>
          <w:b/>
          <w:sz w:val="18"/>
        </w:rPr>
      </w:pPr>
    </w:p>
    <w:p w:rsidR="0074542E" w:rsidRDefault="00943B81">
      <w:pPr>
        <w:pStyle w:val="Heading2"/>
        <w:tabs>
          <w:tab w:val="left" w:pos="3462"/>
          <w:tab w:val="left" w:pos="5344"/>
        </w:tabs>
        <w:spacing w:before="103"/>
        <w:ind w:left="159"/>
      </w:pPr>
      <w:r>
        <w:t xml:space="preserve">Nº Expediente:  </w:t>
      </w:r>
      <w:r>
        <w:rPr>
          <w:spacing w:val="36"/>
        </w:rPr>
        <w:t xml:space="preserve"> </w:t>
      </w:r>
      <w:r>
        <w:t>2020CD-000047-CJCM</w:t>
      </w:r>
      <w:r>
        <w:tab/>
        <w:t>Tipo de Procedimiento:</w:t>
      </w:r>
      <w:r>
        <w:tab/>
        <w:t>Gobierno, Compras Menores Oficio</w:t>
      </w:r>
      <w:r>
        <w:rPr>
          <w:spacing w:val="10"/>
        </w:rPr>
        <w:t xml:space="preserve"> </w:t>
      </w:r>
      <w:r>
        <w:t>Refrendo:</w:t>
      </w:r>
    </w:p>
    <w:p w:rsidR="0074542E" w:rsidRDefault="00943B81">
      <w:pPr>
        <w:tabs>
          <w:tab w:val="left" w:pos="3462"/>
          <w:tab w:val="left" w:pos="7595"/>
        </w:tabs>
        <w:spacing w:before="100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74542E" w:rsidRDefault="0074542E">
      <w:pPr>
        <w:tabs>
          <w:tab w:val="left" w:pos="1437"/>
          <w:tab w:val="left" w:pos="3462"/>
        </w:tabs>
        <w:spacing w:before="111"/>
        <w:ind w:left="159"/>
        <w:rPr>
          <w:sz w:val="16"/>
        </w:rPr>
      </w:pPr>
      <w:r w:rsidRPr="0074542E">
        <w:pict>
          <v:line id="_x0000_s2058" style="position:absolute;left:0;text-align:left;z-index:251661312;mso-position-horizontal-relative:page" from="30.9pt,34.7pt" to="555.5pt,34.7pt" strokeweight=".5pt">
            <w10:wrap anchorx="page"/>
          </v:line>
        </w:pict>
      </w:r>
      <w:r w:rsidR="00943B81">
        <w:rPr>
          <w:sz w:val="16"/>
        </w:rPr>
        <w:t>Contrato:</w:t>
      </w:r>
      <w:r w:rsidR="00943B81">
        <w:rPr>
          <w:sz w:val="16"/>
        </w:rPr>
        <w:tab/>
        <w:t>-</w:t>
      </w:r>
      <w:r w:rsidR="00943B81">
        <w:rPr>
          <w:sz w:val="16"/>
        </w:rPr>
        <w:tab/>
        <w:t>Garantía Cumplimiento:</w:t>
      </w:r>
      <w:r w:rsidR="00943B81">
        <w:rPr>
          <w:spacing w:val="14"/>
          <w:sz w:val="16"/>
        </w:rPr>
        <w:t xml:space="preserve"> </w:t>
      </w:r>
      <w:r w:rsidR="00943B81">
        <w:rPr>
          <w:sz w:val="16"/>
        </w:rPr>
        <w:t>No</w:t>
      </w:r>
    </w:p>
    <w:p w:rsidR="0074542E" w:rsidRDefault="0074542E">
      <w:pPr>
        <w:rPr>
          <w:sz w:val="20"/>
        </w:rPr>
      </w:pPr>
    </w:p>
    <w:p w:rsidR="0074542E" w:rsidRDefault="0074542E">
      <w:pPr>
        <w:spacing w:before="9"/>
        <w:rPr>
          <w:sz w:val="11"/>
        </w:rPr>
      </w:pPr>
      <w:r w:rsidRPr="0074542E">
        <w:pict>
          <v:group id="_x0000_s2050" style="position:absolute;margin-left:30.65pt;margin-top:8.75pt;width:525.15pt;height:89.7pt;z-index:-251656192;mso-wrap-distance-left:0;mso-wrap-distance-right:0;mso-position-horizontal-relative:page" coordorigin="613,175" coordsize="10503,1794">
            <v:rect id="_x0000_s2057" style="position:absolute;left:617;top:438;width:10493;height:20" fillcolor="black" stroked="f"/>
            <v:rect id="_x0000_s2056" style="position:absolute;left:617;top:438;width:10493;height:20" fillcolor="black" stroked="f"/>
            <v:line id="_x0000_s2055" style="position:absolute" from="618,446" to="618,1963" strokeweight=".5pt"/>
            <v:line id="_x0000_s2054" style="position:absolute" from="618,1963" to="11110,1963" strokeweight=".5pt"/>
            <v:line id="_x0000_s2053" style="position:absolute" from="11110,446" to="11110,1963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622;top:458;width:10483;height:1501" filled="f" stroked="f">
              <v:textbox inset="0,0,0,0">
                <w:txbxContent>
                  <w:p w:rsidR="0074542E" w:rsidRDefault="00943B81">
                    <w:pPr>
                      <w:spacing w:before="25"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No. 000043-ARCJ</w:t>
                    </w:r>
                  </w:p>
                  <w:p w:rsidR="0074542E" w:rsidRDefault="00943B81">
                    <w:pPr>
                      <w:spacing w:line="180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Requisición No. 002759-SR-2020</w:t>
                    </w:r>
                  </w:p>
                  <w:p w:rsidR="0074542E" w:rsidRDefault="00943B81">
                    <w:pPr>
                      <w:spacing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Oficina que Requiere: Sección Bioquímica</w:t>
                    </w:r>
                  </w:p>
                  <w:p w:rsidR="0074542E" w:rsidRDefault="0074542E">
                    <w:pPr>
                      <w:spacing w:before="4"/>
                      <w:rPr>
                        <w:sz w:val="15"/>
                      </w:rPr>
                    </w:pPr>
                  </w:p>
                  <w:p w:rsidR="0074542E" w:rsidRDefault="00943B81">
                    <w:pPr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Analista: Kattia Cordero Solano</w:t>
                    </w:r>
                  </w:p>
                  <w:p w:rsidR="0074542E" w:rsidRDefault="0074542E">
                    <w:pPr>
                      <w:spacing w:before="6"/>
                      <w:rPr>
                        <w:sz w:val="15"/>
                      </w:rPr>
                    </w:pPr>
                  </w:p>
                  <w:p w:rsidR="0074542E" w:rsidRDefault="00943B81">
                    <w:pPr>
                      <w:spacing w:line="235" w:lineRule="auto"/>
                      <w:ind w:left="30" w:right="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</v:shape>
            <v:shape id="_x0000_s2051" type="#_x0000_t202" style="position:absolute;left:622;top:174;width:10483;height:264" fillcolor="#6f8090" stroked="f">
              <v:textbox inset="0,0,0,0">
                <w:txbxContent>
                  <w:p w:rsidR="0074542E" w:rsidRDefault="00943B81">
                    <w:pPr>
                      <w:spacing w:before="25"/>
                      <w:ind w:left="4222" w:right="421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</w:t>
                    </w:r>
                    <w:r>
                      <w:rPr>
                        <w:b/>
                        <w:sz w:val="16"/>
                      </w:rPr>
                      <w:t>ervaciones del Pedido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4542E" w:rsidRDefault="0074542E">
      <w:pPr>
        <w:rPr>
          <w:sz w:val="18"/>
        </w:rPr>
      </w:pPr>
    </w:p>
    <w:p w:rsidR="0074542E" w:rsidRDefault="0074542E">
      <w:pPr>
        <w:rPr>
          <w:sz w:val="18"/>
        </w:rPr>
      </w:pPr>
    </w:p>
    <w:p w:rsidR="0074542E" w:rsidRDefault="0074542E">
      <w:pPr>
        <w:spacing w:before="6"/>
      </w:pPr>
    </w:p>
    <w:p w:rsidR="0074542E" w:rsidRDefault="00943B81">
      <w:pPr>
        <w:spacing w:before="1"/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74542E" w:rsidRDefault="0074542E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520"/>
        <w:gridCol w:w="3322"/>
        <w:gridCol w:w="2141"/>
      </w:tblGrid>
      <w:tr w:rsidR="0074542E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74542E" w:rsidRDefault="00943B81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4520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3322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2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2141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74542E" w:rsidRDefault="00943B81">
            <w:pPr>
              <w:pStyle w:val="TableParagraph"/>
              <w:spacing w:before="25"/>
              <w:ind w:left="1061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74542E">
        <w:trPr>
          <w:trHeight w:val="263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74542E" w:rsidRDefault="00943B81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20" w:type="dxa"/>
            <w:tcBorders>
              <w:top w:val="single" w:sz="8" w:space="0" w:color="000000"/>
              <w:left w:val="nil"/>
              <w:right w:val="nil"/>
            </w:tcBorders>
          </w:tcPr>
          <w:p w:rsidR="0074542E" w:rsidRDefault="00943B81"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23795 - LECTOR DE CODIGO DE BARRAS DATA MATRIX</w:t>
            </w:r>
          </w:p>
        </w:tc>
        <w:tc>
          <w:tcPr>
            <w:tcW w:w="3322" w:type="dxa"/>
            <w:tcBorders>
              <w:top w:val="single" w:sz="8" w:space="0" w:color="000000"/>
              <w:left w:val="nil"/>
              <w:right w:val="nil"/>
            </w:tcBorders>
          </w:tcPr>
          <w:p w:rsidR="0074542E" w:rsidRDefault="00943B81">
            <w:pPr>
              <w:pStyle w:val="TableParagraph"/>
              <w:spacing w:before="26"/>
              <w:ind w:left="131"/>
              <w:rPr>
                <w:sz w:val="16"/>
              </w:rPr>
            </w:pPr>
            <w:r>
              <w:rPr>
                <w:sz w:val="16"/>
              </w:rPr>
              <w:t>662 - SECCION BIOQUIMICA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</w:tcBorders>
          </w:tcPr>
          <w:p w:rsidR="0074542E" w:rsidRDefault="00943B81">
            <w:pPr>
              <w:pStyle w:val="TableParagraph"/>
              <w:spacing w:before="26"/>
              <w:ind w:left="106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943B81" w:rsidRDefault="00943B81"/>
    <w:sectPr w:rsidR="00943B81" w:rsidSect="0074542E">
      <w:pgSz w:w="11910" w:h="16840"/>
      <w:pgMar w:top="1220" w:right="600" w:bottom="3960" w:left="520" w:header="465" w:footer="3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81" w:rsidRDefault="00943B81" w:rsidP="0074542E">
      <w:r>
        <w:separator/>
      </w:r>
    </w:p>
  </w:endnote>
  <w:endnote w:type="continuationSeparator" w:id="0">
    <w:p w:rsidR="00943B81" w:rsidRDefault="00943B81" w:rsidP="0074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2E" w:rsidRDefault="0074542E">
    <w:pPr>
      <w:pStyle w:val="Textoindependiente"/>
      <w:spacing w:line="14" w:lineRule="auto"/>
      <w:rPr>
        <w:sz w:val="20"/>
      </w:rPr>
    </w:pPr>
    <w:r w:rsidRPr="0074542E">
      <w:pict>
        <v:line id="_x0000_s1034" style="position:absolute;z-index:-252342272;mso-position-horizontal-relative:page;mso-position-vertical-relative:page" from="38.25pt,643.45pt" to="165.85pt,643.45pt" strokeweight="1pt">
          <w10:wrap anchorx="page" anchory="page"/>
        </v:line>
      </w:pict>
    </w:r>
    <w:r w:rsidRPr="0074542E">
      <w:pict>
        <v:line id="_x0000_s1033" style="position:absolute;z-index:-252341248;mso-position-horizontal-relative:page;mso-position-vertical-relative:page" from="177.15pt,643.45pt" to="311.8pt,643.45pt" strokeweight="1pt">
          <w10:wrap anchorx="page" anchory="page"/>
        </v:line>
      </w:pict>
    </w:r>
    <w:r w:rsidRPr="0074542E">
      <w:pict>
        <v:line id="_x0000_s1032" style="position:absolute;z-index:-252340224;mso-position-horizontal-relative:page;mso-position-vertical-relative:page" from="323.15pt,643.45pt" to="436.55pt,643.45pt" strokeweight="1pt">
          <w10:wrap anchorx="page" anchory="page"/>
        </v:line>
      </w:pict>
    </w:r>
    <w:r w:rsidRPr="0074542E">
      <w:pict>
        <v:line id="_x0000_s1031" style="position:absolute;z-index:-252339200;mso-position-horizontal-relative:page;mso-position-vertical-relative:page" from="446.45pt,643.45pt" to="552.75pt,643.45pt" strokeweight="1pt">
          <w10:wrap anchorx="page" anchory="page"/>
        </v:line>
      </w:pict>
    </w:r>
    <w:r w:rsidRPr="00745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6.25pt;width:92.7pt;height:19.95pt;z-index:-252338176;mso-position-horizontal-relative:page;mso-position-vertical-relative:page" filled="f" stroked="f">
          <v:textbox inset="0,0,0,0">
            <w:txbxContent>
              <w:p w:rsidR="0074542E" w:rsidRDefault="00943B81">
                <w:pPr>
                  <w:spacing w:before="14" w:line="182" w:lineRule="exact"/>
                  <w:ind w:left="4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 w:rsidR="0074542E" w:rsidRDefault="00943B81">
                <w:pPr>
                  <w:spacing w:line="182" w:lineRule="exact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 w:rsidRPr="0074542E">
      <w:pict>
        <v:shape id="_x0000_s1029" type="#_x0000_t202" style="position:absolute;margin-left:198.15pt;margin-top:646.25pt;width:92.7pt;height:19.95pt;z-index:-252337152;mso-position-horizontal-relative:page;mso-position-vertical-relative:page" filled="f" stroked="f">
          <v:textbox inset="0,0,0,0">
            <w:txbxContent>
              <w:p w:rsidR="0074542E" w:rsidRDefault="00943B81">
                <w:pPr>
                  <w:spacing w:before="14" w:line="182" w:lineRule="exact"/>
                  <w:ind w:left="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 w:rsidR="0074542E" w:rsidRDefault="00943B81">
                <w:pPr>
                  <w:spacing w:line="182" w:lineRule="exact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 w:rsidRPr="0074542E">
      <w:pict>
        <v:shape id="_x0000_s1028" type="#_x0000_t202" style="position:absolute;margin-left:329.45pt;margin-top:646.25pt;width:102.95pt;height:19.95pt;z-index:-252336128;mso-position-horizontal-relative:page;mso-position-vertical-relative:page" filled="f" stroked="f">
          <v:textbox inset="0,0,0,0">
            <w:txbxContent>
              <w:p w:rsidR="0074542E" w:rsidRDefault="00943B81">
                <w:pPr>
                  <w:spacing w:before="17" w:line="235" w:lineRule="auto"/>
                  <w:ind w:left="20" w:right="-1" w:firstLine="502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 w:rsidRPr="0074542E">
      <w:pict>
        <v:shape id="_x0000_s1027" type="#_x0000_t202" style="position:absolute;margin-left:453.8pt;margin-top:646.25pt;width:93.15pt;height:19.95pt;z-index:-252335104;mso-position-horizontal-relative:page;mso-position-vertical-relative:page" filled="f" stroked="f">
          <v:textbox inset="0,0,0,0">
            <w:txbxContent>
              <w:p w:rsidR="0074542E" w:rsidRDefault="00943B81">
                <w:pPr>
                  <w:spacing w:before="17" w:line="235" w:lineRule="auto"/>
                  <w:ind w:left="237" w:hanging="218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 w:rsidRPr="0074542E">
      <w:pict>
        <v:shape id="_x0000_s1026" type="#_x0000_t202" style="position:absolute;margin-left:36.4pt;margin-top:678.9pt;width:246.9pt;height:18.9pt;z-index:-252334080;mso-position-horizontal-relative:page;mso-position-vertical-relative:page" filled="f" stroked="f">
          <v:textbox inset="0,0,0,0">
            <w:txbxContent>
              <w:p w:rsidR="0074542E" w:rsidRDefault="00943B81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74542E" w:rsidRDefault="00943B81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74542E">
      <w:pict>
        <v:shape id="_x0000_s1025" type="#_x0000_t202" style="position:absolute;margin-left:36.4pt;margin-top:706.15pt;width:522.95pt;height:48.1pt;z-index:-252333056;mso-position-horizontal-relative:page;mso-position-vertical-relative:page" filled="f" stroked="f">
          <v:textbox inset="0,0,0,0">
            <w:txbxContent>
              <w:p w:rsidR="0074542E" w:rsidRDefault="00943B81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74542E" w:rsidRDefault="00943B81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</w:t>
                </w:r>
                <w:r>
                  <w:t>TARLAS EN EL DEPTO. FINANCIERO CONTABLE PARA EL TRÁMITE DE PAGO. LAS FACTURAS NO TENDRÁN VALIDEZ SI PRESENTAN BORRONES O TACHONES Y DEBEN TENER EL NÚMERO DE ESTE PEDIDO. TODA COMPRA DEL PODER JUDICIAL ESTÁ EXENTA DE IMPUESTOS DE VENTA Y CONSUMO POR INMUNID</w:t>
                </w:r>
                <w:r>
                  <w:t>AD FISCAL.</w:t>
                </w:r>
              </w:p>
              <w:p w:rsidR="0074542E" w:rsidRDefault="00943B81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81" w:rsidRDefault="00943B81" w:rsidP="0074542E">
      <w:r>
        <w:separator/>
      </w:r>
    </w:p>
  </w:footnote>
  <w:footnote w:type="continuationSeparator" w:id="0">
    <w:p w:rsidR="00943B81" w:rsidRDefault="00943B81" w:rsidP="0074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2E" w:rsidRDefault="0074542E">
    <w:pPr>
      <w:pStyle w:val="Textoindependiente"/>
      <w:spacing w:line="14" w:lineRule="auto"/>
      <w:rPr>
        <w:sz w:val="20"/>
      </w:rPr>
    </w:pPr>
    <w:r w:rsidRPr="00745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6.4pt;margin-top:22.25pt;width:85.55pt;height:22pt;z-index:-252347392;mso-position-horizontal-relative:page;mso-position-vertical-relative:page" filled="f" stroked="f">
          <v:textbox inset="0,0,0,0">
            <w:txbxContent>
              <w:p w:rsidR="0074542E" w:rsidRDefault="00943B81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74542E" w:rsidRDefault="00943B81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74542E">
      <w:pict>
        <v:shape id="_x0000_s1038" type="#_x0000_t202" style="position:absolute;margin-left:279.5pt;margin-top:22.3pt;width:36.3pt;height:14.1pt;z-index:-252346368;mso-position-horizontal-relative:page;mso-position-vertical-relative:page" filled="f" stroked="f">
          <v:textbox inset="0,0,0,0">
            <w:txbxContent>
              <w:p w:rsidR="0074542E" w:rsidRDefault="00943B81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74542E">
      <w:pict>
        <v:shape id="_x0000_s1037" type="#_x0000_t202" style="position:absolute;margin-left:461.45pt;margin-top:22.25pt;width:69.2pt;height:11.7pt;z-index:-252345344;mso-position-horizontal-relative:page;mso-position-vertical-relative:page" filled="f" stroked="f">
          <v:textbox inset="0,0,0,0">
            <w:txbxContent>
              <w:p w:rsidR="0074542E" w:rsidRDefault="00943B81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2020-002721</w:t>
                </w:r>
              </w:p>
            </w:txbxContent>
          </v:textbox>
          <w10:wrap anchorx="page" anchory="page"/>
        </v:shape>
      </w:pict>
    </w:r>
    <w:r w:rsidRPr="0074542E">
      <w:pict>
        <v:shape id="_x0000_s1036" type="#_x0000_t202" style="position:absolute;margin-left:475.85pt;margin-top:45.45pt;width:69pt;height:11.7pt;z-index:-252344320;mso-position-horizontal-relative:page;mso-position-vertical-relative:page" filled="f" stroked="f">
          <v:textbox inset="0,0,0,0">
            <w:txbxContent>
              <w:p w:rsidR="0074542E" w:rsidRDefault="00943B81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03/06/2020</w:t>
                </w:r>
              </w:p>
            </w:txbxContent>
          </v:textbox>
          <w10:wrap anchorx="page" anchory="page"/>
        </v:shape>
      </w:pict>
    </w:r>
    <w:r w:rsidRPr="0074542E">
      <w:pict>
        <v:shape id="_x0000_s1035" type="#_x0000_t202" style="position:absolute;margin-left:36.4pt;margin-top:50.6pt;width:28.8pt;height:10.95pt;z-index:-252343296;mso-position-horizontal-relative:page;mso-position-vertical-relative:page" filled="f" stroked="f">
          <v:textbox inset="0,0,0,0">
            <w:txbxContent>
              <w:p w:rsidR="0074542E" w:rsidRDefault="00943B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74542E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74542E">
                  <w:fldChar w:fldCharType="separate"/>
                </w:r>
                <w:r w:rsidR="00EE6C95">
                  <w:rPr>
                    <w:noProof/>
                    <w:sz w:val="16"/>
                  </w:rPr>
                  <w:t>1</w:t>
                </w:r>
                <w:r w:rsidR="0074542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4542E"/>
    <w:rsid w:val="0074542E"/>
    <w:rsid w:val="00943B81"/>
    <w:rsid w:val="00E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42E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4542E"/>
    <w:rPr>
      <w:rFonts w:ascii="Tahoma" w:eastAsia="Tahoma" w:hAnsi="Tahoma" w:cs="Tahoma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74542E"/>
    <w:pPr>
      <w:spacing w:before="1"/>
      <w:ind w:left="20"/>
      <w:outlineLvl w:val="1"/>
    </w:pPr>
    <w:rPr>
      <w:b/>
      <w:bCs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74542E"/>
    <w:pPr>
      <w:spacing w:before="14"/>
      <w:ind w:left="20"/>
      <w:outlineLvl w:val="2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4542E"/>
  </w:style>
  <w:style w:type="paragraph" w:customStyle="1" w:styleId="TableParagraph">
    <w:name w:val="Table Paragraph"/>
    <w:basedOn w:val="Normal"/>
    <w:uiPriority w:val="1"/>
    <w:qFormat/>
    <w:rsid w:val="007454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mzuñigaal</cp:lastModifiedBy>
  <cp:revision>2</cp:revision>
  <dcterms:created xsi:type="dcterms:W3CDTF">2020-07-14T15:26:00Z</dcterms:created>
  <dcterms:modified xsi:type="dcterms:W3CDTF">2020-07-14T15:26:00Z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