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10899 - Mantenimiento y reparación de otros equipos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301-200542-20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2,000,000.00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804,422.15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Multiservicios Electromédicos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3-101-007879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25270727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07/05/2020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571.91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1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4378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28"/>
              <w:ind w:left="21" w:right="298"/>
              <w:rPr>
                <w:sz w:val="16"/>
              </w:rPr>
            </w:pPr>
            <w:r>
              <w:rPr>
                <w:sz w:val="16"/>
              </w:rPr>
              <w:t>19553 - MANTENIMIENTO Y REPARACION DE OTROS EQUIPOS</w:t>
            </w:r>
          </w:p>
          <w:p>
            <w:pPr>
              <w:pStyle w:val="TableParagraph"/>
              <w:spacing w:line="235" w:lineRule="auto"/>
              <w:ind w:left="21" w:right="33"/>
              <w:rPr>
                <w:sz w:val="16"/>
              </w:rPr>
            </w:pPr>
            <w:r>
              <w:rPr>
                <w:sz w:val="16"/>
              </w:rPr>
              <w:t>Revisión, mantenimiento y reparación del equipo de TAC, marca Toshiba (Canon), modelo Aquilion, activo Nº 680387 ubicado en la Sala de Rayos X del Departamento de Medicina Legal.</w:t>
            </w: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1247"/>
              <w:rPr>
                <w:sz w:val="16"/>
              </w:rPr>
            </w:pPr>
            <w:r>
              <w:rPr>
                <w:sz w:val="16"/>
              </w:rPr>
              <w:t>Precio Unitario moneda cotizada: $2,090.50 Monto Total moneda cotizada: $2,090.50 Garantía: 3 Meses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15 días hábiles</w:t>
            </w:r>
          </w:p>
          <w:p>
            <w:pPr>
              <w:pStyle w:val="TableParagraph"/>
              <w:spacing w:line="235" w:lineRule="auto" w:before="1"/>
              <w:ind w:left="21" w:right="11"/>
              <w:rPr>
                <w:sz w:val="16"/>
              </w:rPr>
            </w:pPr>
            <w:r>
              <w:rPr>
                <w:sz w:val="16"/>
              </w:rPr>
              <w:t>Lugar de entrega: Departamento de Medicina Legal – Unidad de Rayos X – Ciudad Judicial - San Joaquín de Flores –</w:t>
            </w:r>
          </w:p>
          <w:p>
            <w:pPr>
              <w:pStyle w:val="TableParagraph"/>
              <w:spacing w:line="235" w:lineRule="auto"/>
              <w:ind w:left="21" w:right="33"/>
              <w:rPr>
                <w:sz w:val="16"/>
              </w:rPr>
            </w:pPr>
            <w:r>
              <w:rPr>
                <w:sz w:val="16"/>
              </w:rPr>
              <w:t>Heredia. Coordinar con el Lic. Christopher Leitón Araya al teléfono 2267-1131, correo electrónico: cleiton@poder- judicial.go.cr</w:t>
            </w:r>
          </w:p>
          <w:p>
            <w:pPr>
              <w:pStyle w:val="TableParagraph"/>
              <w:spacing w:line="235" w:lineRule="auto" w:before="19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>
            <w:pPr>
              <w:pStyle w:val="TableParagraph"/>
              <w:spacing w:line="247" w:lineRule="auto"/>
              <w:ind w:left="21" w:right="945"/>
              <w:rPr>
                <w:sz w:val="16"/>
              </w:rPr>
            </w:pPr>
            <w:r>
              <w:rPr>
                <w:sz w:val="16"/>
              </w:rPr>
              <w:t>Precio Unitario Moneda Cotizada: $ 2,090.50 Monto Total Moneda Cotizada: $ 2,090.50 Subtotal a girar en moneda cotizada: $ 2,090.50</w:t>
            </w:r>
          </w:p>
          <w:p>
            <w:pPr>
              <w:pStyle w:val="TableParagraph"/>
              <w:spacing w:line="240" w:lineRule="exact" w:before="5"/>
              <w:ind w:left="21" w:right="2413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8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1,195,577.8550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80" w:right="-15"/>
              <w:rPr>
                <w:sz w:val="16"/>
              </w:rPr>
            </w:pPr>
            <w:r>
              <w:rPr>
                <w:sz w:val="16"/>
              </w:rPr>
              <w:t>¢ 1,195,577.85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¢ 1,195,577.85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1,195,577.85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75"/>
              <w:ind w:left="84"/>
              <w:rPr>
                <w:sz w:val="16"/>
              </w:rPr>
            </w:pPr>
            <w:r>
              <w:rPr>
                <w:sz w:val="16"/>
              </w:rPr>
              <w:t>(UN MILLON CIENTO NOVENTA Y CINCO MIL QUINIENTOS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1,195,577.85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SETENTA Y SIETE COLONES 85/100)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21,160.66</w:t>
            </w:r>
          </w:p>
        </w:tc>
      </w:tr>
      <w:tr>
        <w:trPr>
          <w:trHeight w:val="490" w:hRule="atLeast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1,174,417.19</w:t>
            </w:r>
          </w:p>
        </w:tc>
      </w:tr>
    </w:tbl>
    <w:p>
      <w:pPr>
        <w:pStyle w:val="Heading1"/>
        <w:spacing w:before="72"/>
        <w:ind w:left="5062"/>
      </w:pPr>
      <w:r>
        <w:rPr/>
        <w:t>PARA USO EXCLUSIVO DEL PODER JUDICIAL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40" w:bottom="3960" w:left="520" w:right="600"/>
          <w:pgNumType w:start="1"/>
        </w:sect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72" w:hRule="atLeast"/>
        </w:trPr>
        <w:tc>
          <w:tcPr>
            <w:tcW w:w="4734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77" w:val="left" w:leader="none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1,195,577.85</w:t>
            </w:r>
          </w:p>
          <w:p>
            <w:pPr>
              <w:pStyle w:val="TableParagraph"/>
              <w:tabs>
                <w:tab w:pos="4477" w:val="left" w:leader="none"/>
                <w:tab w:pos="5099" w:val="left" w:leader="none"/>
              </w:tabs>
              <w:spacing w:line="280" w:lineRule="atLeast"/>
              <w:ind w:left="5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ab/>
              <w:t>¢ </w:t>
            </w:r>
            <w:r>
              <w:rPr>
                <w:b/>
                <w:spacing w:val="-4"/>
                <w:sz w:val="16"/>
              </w:rPr>
              <w:t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1,195,577.85</w:t>
            </w:r>
          </w:p>
        </w:tc>
      </w:tr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16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1,058,033.49</w:t>
            </w:r>
          </w:p>
          <w:p>
            <w:pPr>
              <w:pStyle w:val="TableParagraph"/>
              <w:tabs>
                <w:tab w:pos="3749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137,544.36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b/>
          <w:sz w:val="19"/>
        </w:rPr>
      </w:pPr>
    </w:p>
    <w:p>
      <w:pPr>
        <w:pStyle w:val="Heading2"/>
        <w:tabs>
          <w:tab w:pos="3462" w:val="left" w:leader="none"/>
          <w:tab w:pos="5344" w:val="left" w:leader="none"/>
        </w:tabs>
        <w:spacing w:before="95"/>
        <w:ind w:left="159"/>
      </w:pPr>
      <w:r>
        <w:rPr/>
        <w:t>Nº Expediente:  </w:t>
      </w:r>
      <w:r>
        <w:rPr>
          <w:spacing w:val="36"/>
        </w:rPr>
        <w:t> </w:t>
      </w:r>
      <w:r>
        <w:rPr/>
        <w:t>2020CD-000036-CJCM</w:t>
        <w:tab/>
        <w:t>Tipo de Procedimiento:</w:t>
        <w:tab/>
        <w:t>Gobierno, Compras Menores Oficio</w:t>
      </w:r>
      <w:r>
        <w:rPr>
          <w:spacing w:val="10"/>
        </w:rPr>
        <w:t> </w:t>
      </w:r>
      <w:r>
        <w:rPr/>
        <w:t>Refrendo:</w:t>
      </w:r>
    </w:p>
    <w:p>
      <w:pPr>
        <w:tabs>
          <w:tab w:pos="3462" w:val="left" w:leader="none"/>
          <w:tab w:pos="7595" w:val="left" w:leader="none"/>
        </w:tabs>
        <w:spacing w:before="10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34.705894pt" to="555.500999pt,34.705894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group style="position:absolute;margin-left:30.632999pt;margin-top:8.725248pt;width:525.15pt;height:89.7pt;mso-position-horizontal-relative:page;mso-position-vertical-relative:paragraph;z-index:-251656192;mso-wrap-distance-left:0;mso-wrap-distance-right:0" coordorigin="613,175" coordsize="10503,179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1963" stroked="true" strokeweight=".5pt" strokecolor="#000000">
              <v:stroke dashstyle="solid"/>
            </v:line>
            <v:line style="position:absolute" from="618,1963" to="11110,1963" stroked="true" strokeweight=".5pt" strokecolor="#000000">
              <v:stroke dashstyle="solid"/>
            </v:line>
            <v:line style="position:absolute" from="11110,445" to="11110,1963" stroked="true" strokeweight=".5pt" strokecolor="#000000">
              <v:stroke dashstyle="solid"/>
            </v:line>
            <v:shape style="position:absolute;left:622;top:457;width:10483;height:1501" type="#_x0000_t202" filled="false" stroked="false">
              <v:textbox inset="0,0,0,0">
                <w:txbxContent>
                  <w:p>
                    <w:pPr>
                      <w:spacing w:line="182" w:lineRule="exact"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000028-ARCJ</w:t>
                    </w:r>
                  </w:p>
                  <w:p>
                    <w:pPr>
                      <w:spacing w:line="180" w:lineRule="exact"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002687-SR-2020</w:t>
                    </w:r>
                  </w:p>
                  <w:p>
                    <w:pPr>
                      <w:spacing w:line="470" w:lineRule="auto" w:before="0"/>
                      <w:ind w:left="30" w:right="648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que Requiere: Departamento de Medicina Legal Analista: Kattia Cordero Solano</w:t>
                    </w: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spacing w:before="1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409"/>
        <w:gridCol w:w="4016"/>
        <w:gridCol w:w="1559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40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0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59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auto" w:before="29"/>
              <w:ind w:left="115" w:right="211"/>
              <w:rPr>
                <w:sz w:val="16"/>
              </w:rPr>
            </w:pPr>
            <w:r>
              <w:rPr>
                <w:sz w:val="16"/>
              </w:rPr>
              <w:t>19553 - MANTENIMIENTO Y REPARACION DE OTROS EQUIPOS</w:t>
            </w:r>
          </w:p>
        </w:tc>
        <w:tc>
          <w:tcPr>
            <w:tcW w:w="40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z w:val="16"/>
              </w:rPr>
              <w:t>78 - DEPARTAMENTO DE MEDICINA LEGAL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6"/>
              <w:ind w:left="4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sectPr>
      <w:pgSz w:w="11910" w:h="16840"/>
      <w:pgMar w:header="465" w:footer="3779" w:top="124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190720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89696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88672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87648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186624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185600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184576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183552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182528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181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19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19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19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2020-002262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192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13/05/2020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191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2020-06-04T17:21:32Z</dcterms:created>
  <dcterms:modified xsi:type="dcterms:W3CDTF">2020-06-04T17:21:32Z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2020-06-04T00:00:00Z</vt:filetime>
  </property>
</Properties>
</file>