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>
        <w:trPr>
          <w:trHeight w:val="708" w:hRule="atLeast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20402 - Repuestos y accesorios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301-201167-20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10,000,000.00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1,015,987.06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Distribuidora Ferretécnica S.A.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3-101-326013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22865255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 w:right="8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15/04/2020</w:t>
            </w:r>
          </w:p>
          <w:p>
            <w:pPr>
              <w:pStyle w:val="TableParagraph"/>
              <w:spacing w:before="100"/>
              <w:ind w:left="20" w:right="834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1071 - SECCION DE COMPRAS MENORES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1545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5"/>
              <w:ind w:left="21"/>
              <w:rPr>
                <w:sz w:val="16"/>
              </w:rPr>
            </w:pPr>
            <w:r>
              <w:rPr>
                <w:sz w:val="16"/>
              </w:rPr>
              <w:t>14009 - PORTA FUSIBLE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Porta fusible</w:t>
            </w:r>
          </w:p>
          <w:p>
            <w:pPr>
              <w:pStyle w:val="TableParagraph"/>
              <w:spacing w:line="235" w:lineRule="auto" w:before="1"/>
              <w:ind w:left="21" w:right="2244"/>
              <w:rPr>
                <w:sz w:val="16"/>
              </w:rPr>
            </w:pPr>
            <w:r>
              <w:rPr>
                <w:sz w:val="16"/>
              </w:rPr>
              <w:t>Marca: Audio Accesorios S.A. Modelo: CQ-211C-12</w:t>
            </w:r>
          </w:p>
          <w:p>
            <w:pPr>
              <w:pStyle w:val="TableParagraph"/>
              <w:spacing w:line="235" w:lineRule="auto"/>
              <w:ind w:left="21" w:right="474"/>
              <w:rPr>
                <w:sz w:val="16"/>
              </w:rPr>
            </w:pPr>
            <w:r>
              <w:rPr>
                <w:sz w:val="16"/>
              </w:rPr>
              <w:t>Porta Fusible Plástico (tipo ATC) para uso en sistemas eléctricos automotrices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Con cierre hermético (tapa) sin fusible</w:t>
            </w:r>
          </w:p>
          <w:p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Capacidad de carga 30 amperios a 12 voltios.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729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900.0000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270,000.00</w:t>
            </w:r>
          </w:p>
        </w:tc>
      </w:tr>
      <w:tr>
        <w:trPr>
          <w:trHeight w:val="1330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70"/>
              <w:ind w:left="21"/>
              <w:rPr>
                <w:sz w:val="16"/>
              </w:rPr>
            </w:pPr>
            <w:r>
              <w:rPr>
                <w:sz w:val="16"/>
              </w:rPr>
              <w:t>Y demás especificaciones técnicas descritas en el cartel y la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oferta.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3 Meses</w:t>
            </w:r>
          </w:p>
          <w:p>
            <w:pPr>
              <w:pStyle w:val="TableParagraph"/>
              <w:spacing w:line="180" w:lineRule="exact" w:before="4"/>
              <w:ind w:left="21" w:right="47"/>
              <w:rPr>
                <w:sz w:val="16"/>
              </w:rPr>
            </w:pPr>
            <w:r>
              <w:rPr>
                <w:sz w:val="16"/>
              </w:rPr>
              <w:t>Plazo de entrega: 3 días hábiles después de recibido el pedido, sea vía fax, correo electrónico lo que ocurra primero. Lugar de entrega: Administración del OIJ, ubicada en San José, en coordinación con la Licda. Francella Ríos Vargas.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900.00</w:t>
            </w:r>
          </w:p>
          <w:p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270,000.00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270,000.00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¢ 270,000.00</w:t>
            </w:r>
          </w:p>
        </w:tc>
      </w:tr>
      <w:tr>
        <w:trPr>
          <w:trHeight w:val="268" w:hRule="atLeast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270,000.00</w:t>
            </w:r>
          </w:p>
        </w:tc>
      </w:tr>
      <w:tr>
        <w:trPr>
          <w:trHeight w:val="280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4"/>
              <w:rPr>
                <w:sz w:val="16"/>
              </w:rPr>
            </w:pPr>
            <w:r>
              <w:rPr>
                <w:sz w:val="16"/>
              </w:rPr>
              <w:t>(DOSCIENTOS SETENTA MIL COLONES 00/100)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270,000.00</w:t>
            </w:r>
          </w:p>
        </w:tc>
      </w:tr>
      <w:tr>
        <w:trPr>
          <w:trHeight w:val="239" w:hRule="atLeast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4,778.76</w:t>
            </w:r>
          </w:p>
        </w:tc>
      </w:tr>
      <w:tr>
        <w:trPr>
          <w:trHeight w:val="490" w:hRule="atLeast"/>
        </w:trPr>
        <w:tc>
          <w:tcPr>
            <w:tcW w:w="4776" w:type="dxa"/>
            <w:gridSpan w:val="7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265,221.24</w:t>
            </w:r>
          </w:p>
        </w:tc>
      </w:tr>
    </w:tbl>
    <w:p>
      <w:pPr>
        <w:pStyle w:val="Heading1"/>
        <w:spacing w:before="72"/>
        <w:ind w:left="5062"/>
      </w:pPr>
      <w:r>
        <w:rPr/>
        <w:pict>
          <v:group style="position:absolute;margin-left:277.105011pt;margin-top:15.958897pt;width:278.5pt;height:29pt;mso-position-horizontal-relative:page;mso-position-vertical-relative:paragraph;z-index:-251656192;mso-wrap-distance-left:0;mso-wrap-distance-right:0" coordorigin="5542,319" coordsize="5570,580">
            <v:line style="position:absolute" from="5547,329" to="11107,329" stroked="true" strokeweight="1pt" strokecolor="#000000">
              <v:stroke dashstyle="solid"/>
            </v:line>
            <v:line style="position:absolute" from="5547,327" to="5547,891" stroked="true" strokeweight=".5pt" strokecolor="#000000">
              <v:stroke dashstyle="solid"/>
            </v:line>
            <v:line style="position:absolute" from="5547,889" to="11107,889" stroked="true" strokeweight="1pt" strokecolor="#000000">
              <v:stroke dashstyle="solid"/>
            </v:line>
            <v:line style="position:absolute" from="11107,327" to="11107,891" stroked="true" strokeweight=".5pt" strokecolor="#000000">
              <v:stroke dashstyle="solid"/>
            </v:line>
            <v:shape style="position:absolute;left:10137;top:369;width:955;height:45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270,000.00</w:t>
                    </w:r>
                  </w:p>
                  <w:p>
                    <w:pPr>
                      <w:spacing w:before="95"/>
                      <w:ind w:left="48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0.00</w:t>
                    </w:r>
                  </w:p>
                </w:txbxContent>
              </v:textbox>
              <w10:wrap type="none"/>
            </v:shape>
            <v:shape style="position:absolute;left:5582;top:369;width:3593;height:45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RESERVA DE DIF. CAMBIARIO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PARA USO EXCLUSIVO DEL PODER JUDICIAL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40" w:bottom="3960" w:left="520" w:right="600"/>
          <w:pgNumType w:start="1"/>
        </w:sectPr>
      </w:pPr>
    </w:p>
    <w:p>
      <w:pPr>
        <w:spacing w:line="240" w:lineRule="auto"/>
        <w:ind w:left="5017" w:right="0" w:firstLine="0"/>
        <w:rPr>
          <w:sz w:val="20"/>
        </w:rPr>
      </w:pPr>
      <w:r>
        <w:rPr>
          <w:sz w:val="20"/>
        </w:rPr>
        <w:pict>
          <v:group style="width:278.5pt;height:14.8pt;mso-position-horizontal-relative:char;mso-position-vertical-relative:line" coordorigin="0,0" coordsize="5570,296">
            <v:line style="position:absolute" from="5,10" to="5565,10" stroked="true" strokeweight="1pt" strokecolor="#000000">
              <v:stroke dashstyle="solid"/>
            </v:line>
            <v:line style="position:absolute" from="5,8" to="5,288" stroked="true" strokeweight=".5pt" strokecolor="#000000">
              <v:stroke dashstyle="solid"/>
            </v:line>
            <v:line style="position:absolute" from="5,288" to="5565,288" stroked="true" strokeweight=".795pt" strokecolor="#000000">
              <v:stroke dashstyle="solid"/>
            </v:line>
            <v:line style="position:absolute" from="5565,8" to="5565,288" stroked="true" strokeweight=".5pt" strokecolor="#000000">
              <v:stroke dashstyle="solid"/>
            </v:line>
            <v:shape style="position:absolute;left:10;top:20;width:5550;height:260" type="#_x0000_t202" filled="false" stroked="false">
              <v:textbox inset="0,0,0,0">
                <w:txbxContent>
                  <w:p>
                    <w:pPr>
                      <w:tabs>
                        <w:tab w:pos="4584" w:val="left" w:leader="none"/>
                      </w:tabs>
                      <w:spacing w:before="25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CON RESERVA DE DIF.</w:t>
                    </w:r>
                    <w:r>
                      <w:rPr>
                        <w:b/>
                        <w:spacing w:val="-1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CAMBIARIO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¢</w:t>
                      <w:tab/>
                      <w:t>¢ 270,000.00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b/>
          <w:sz w:val="19"/>
        </w:rPr>
      </w:pPr>
      <w:r>
        <w:rPr/>
        <w:pict>
          <v:group style="position:absolute;margin-left:39.384998pt;margin-top:13.342pt;width:237.25pt;height:29pt;mso-position-horizontal-relative:page;mso-position-vertical-relative:paragraph;z-index:-251651072;mso-wrap-distance-left:0;mso-wrap-distance-right:0" coordorigin="788,267" coordsize="4745,580">
            <v:rect style="position:absolute;left:797;top:276;width:4725;height:560" filled="false" stroked="true" strokeweight="1pt" strokecolor="#000000">
              <v:stroke dashstyle="solid"/>
            </v:rect>
            <v:shape style="position:absolute;left:4547;top:317;width:955;height:444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238,938.05</w:t>
                    </w:r>
                  </w:p>
                  <w:p>
                    <w:pPr>
                      <w:spacing w:before="81"/>
                      <w:ind w:left="8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31,061.95</w:t>
                    </w:r>
                  </w:p>
                </w:txbxContent>
              </v:textbox>
              <w10:wrap type="none"/>
            </v:shape>
            <v:shape style="position:absolute;left:837;top:317;width:1816;height:444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SIN IVA</w:t>
                    </w: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DE IVA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b/>
          <w:sz w:val="16"/>
        </w:rPr>
      </w:pPr>
    </w:p>
    <w:p>
      <w:pPr>
        <w:pStyle w:val="Heading2"/>
        <w:tabs>
          <w:tab w:pos="5344" w:val="left" w:leader="none"/>
        </w:tabs>
        <w:spacing w:before="95"/>
        <w:ind w:left="159"/>
      </w:pPr>
      <w:r>
        <w:rPr/>
        <w:t>Nº Expediente:    2020CD-000164-PROVCM   Tipo</w:t>
      </w:r>
      <w:r>
        <w:rPr>
          <w:spacing w:val="-2"/>
        </w:rPr>
        <w:t> </w:t>
      </w:r>
      <w:r>
        <w:rPr/>
        <w:t>de Procedimiento:</w:t>
        <w:tab/>
        <w:t>Gobierno, Compras Menores Oficio</w:t>
      </w:r>
      <w:r>
        <w:rPr>
          <w:spacing w:val="10"/>
        </w:rPr>
        <w:t> </w:t>
      </w:r>
      <w:r>
        <w:rPr/>
        <w:t>Refrendo:</w:t>
      </w:r>
    </w:p>
    <w:p>
      <w:pPr>
        <w:tabs>
          <w:tab w:pos="3462" w:val="left" w:leader="none"/>
          <w:tab w:pos="7595" w:val="left" w:leader="none"/>
        </w:tabs>
        <w:spacing w:before="99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2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9504" from="30.882999pt,34.755898pt" to="555.500999pt,34.755898pt" stroked="true" strokeweight=".5pt" strokecolor="#000000">
            <v:stroke dashstyle="solid"/>
            <w10:wrap type="none"/>
          </v:line>
        </w:pict>
      </w: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group style="position:absolute;margin-left:30.632999pt;margin-top:8.700102pt;width:525.15pt;height:143.7pt;mso-position-horizontal-relative:page;mso-position-vertical-relative:paragraph;z-index:-251648000;mso-wrap-distance-left:0;mso-wrap-distance-right:0" coordorigin="613,174" coordsize="10503,2874">
            <v:rect style="position:absolute;left:617;top:437;width:10493;height:20" filled="true" fillcolor="#000000" stroked="false">
              <v:fill type="solid"/>
            </v:rect>
            <v:rect style="position:absolute;left:617;top:437;width:10493;height:20" filled="true" fillcolor="#000000" stroked="false">
              <v:fill type="solid"/>
            </v:rect>
            <v:line style="position:absolute" from="618,445" to="618,3042" stroked="true" strokeweight=".5pt" strokecolor="#000000">
              <v:stroke dashstyle="solid"/>
            </v:line>
            <v:line style="position:absolute" from="618,3042" to="11110,3042" stroked="true" strokeweight=".5pt" strokecolor="#000000">
              <v:stroke dashstyle="solid"/>
            </v:line>
            <v:line style="position:absolute" from="11110,445" to="11110,3042" stroked="true" strokeweight=".5pt" strokecolor="#000000">
              <v:stroke dashstyle="solid"/>
            </v:line>
            <v:shape style="position:absolute;left:622;top:457;width:10483;height:2581" type="#_x0000_t202" filled="false" stroked="false">
              <v:textbox inset="0,0,0,0">
                <w:txbxContent>
                  <w:p>
                    <w:pPr>
                      <w:spacing w:line="182" w:lineRule="exact"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Resolución N°. 00222-VH-2020</w:t>
                    </w:r>
                  </w:p>
                  <w:p>
                    <w:pPr>
                      <w:spacing w:line="182" w:lineRule="exact" w:before="0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Analista: Yenssy Chaves León</w:t>
                    </w: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especies fiscales se encuentran en el expediente electrónico.</w:t>
                    </w:r>
                  </w:p>
                  <w:p>
                    <w:pPr>
                      <w:spacing w:line="240" w:lineRule="auto" w:before="6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Actas se confeccionarán en los siguientes 3 días hábiles, una vez presentada la factura por parte de la Administración del OIJ, en coordinación con la Licda. Francella Ríos V</w:t>
                    </w:r>
                    <w:hyperlink r:id="rId7">
                      <w:r>
                        <w:rPr>
                          <w:sz w:val="16"/>
                        </w:rPr>
                        <w:t>argas, correo frios@poder-judicial.go.cr, </w:t>
                      </w:r>
                    </w:hyperlink>
                    <w:r>
                      <w:rPr>
                        <w:sz w:val="16"/>
                      </w:rPr>
                      <w:t>teléfono 2295-3032 / 4058.</w:t>
                    </w: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30" w:right="0" w:firstLine="0"/>
                      <w:jc w:val="left"/>
                      <w:rPr>
                        <w:sz w:val="16"/>
                      </w:rPr>
                    </w:pPr>
                    <w:hyperlink r:id="rId8">
                      <w:r>
                        <w:rPr>
                          <w:sz w:val="16"/>
                        </w:rPr>
                        <w:t>Comunicar a: felipe.villalobos@ferretecnica.com</w:t>
                      </w:r>
                    </w:hyperlink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Notificar adicionalmente a la Administración del OIJ</w:t>
                    </w:r>
                  </w:p>
                  <w:p>
                    <w:pPr>
                      <w:spacing w:line="240" w:lineRule="auto" w:before="6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4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22"/>
        </w:rPr>
      </w:pPr>
    </w:p>
    <w:p>
      <w:pPr>
        <w:spacing w:before="1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303"/>
        <w:gridCol w:w="5127"/>
        <w:gridCol w:w="1555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303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51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348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555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5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14009 - PORTA FUSIBLE</w:t>
            </w:r>
          </w:p>
        </w:tc>
        <w:tc>
          <w:tcPr>
            <w:tcW w:w="512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5" w:lineRule="auto" w:before="29"/>
              <w:ind w:left="1348" w:right="442"/>
              <w:rPr>
                <w:sz w:val="16"/>
              </w:rPr>
            </w:pPr>
            <w:r>
              <w:rPr>
                <w:sz w:val="16"/>
              </w:rPr>
              <w:t>45 - SECCION DE COMUNICACIONES DEL ORGANISMO DE INVESTIGACION JUDICIAL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6"/>
              <w:ind w:left="473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</w:tbl>
    <w:sectPr>
      <w:pgSz w:w="11910" w:h="16840"/>
      <w:pgMar w:header="465" w:footer="3779" w:top="124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43296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42272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41248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40224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339200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338176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337152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336128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335104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334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348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347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346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2020-002038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345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29/04/2020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344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"/>
      <w:ind w:left="20"/>
      <w:outlineLvl w:val="1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rios@poder-judicial.go.cr" TargetMode="External"/><Relationship Id="rId8" Type="http://schemas.openxmlformats.org/officeDocument/2006/relationships/hyperlink" Target="mailto:felipe.villalobos@ferretecnic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2020-05-07T19:38:36Z</dcterms:created>
  <dcterms:modified xsi:type="dcterms:W3CDTF">2020-05-07T19:38:36Z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