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3"/>
        <w:ind w:left="715" w:right="0" w:firstLine="0"/>
        <w:jc w:val="left"/>
        <w:rPr>
          <w:b/>
          <w:sz w:val="20"/>
        </w:rPr>
      </w:pPr>
      <w:r>
        <w:rPr>
          <w:rFonts w:ascii="Times New Roman"/>
          <w:sz w:val="24"/>
        </w:rPr>
        <w:t>1</w:t>
      </w:r>
      <w:r>
        <w:rPr>
          <w:b/>
          <w:sz w:val="20"/>
        </w:rPr>
        <w:t>*************************************************************************************************</w:t>
      </w:r>
    </w:p>
    <w:p>
      <w:pPr>
        <w:pStyle w:val="Heading2"/>
        <w:numPr>
          <w:ilvl w:val="0"/>
          <w:numId w:val="1"/>
        </w:numPr>
        <w:tabs>
          <w:tab w:pos="4591" w:val="left" w:leader="none"/>
          <w:tab w:pos="4592" w:val="left" w:leader="none"/>
        </w:tabs>
        <w:spacing w:line="240" w:lineRule="auto" w:before="34" w:after="0"/>
        <w:ind w:left="4591" w:right="0" w:hanging="3877"/>
        <w:jc w:val="left"/>
      </w:pPr>
      <w:r>
        <w:rPr/>
        <w:t>Se reproduce por</w:t>
      </w:r>
      <w:r>
        <w:rPr>
          <w:spacing w:val="-9"/>
        </w:rPr>
        <w:t> </w:t>
      </w:r>
      <w:r>
        <w:rPr/>
        <w:t>error</w:t>
      </w:r>
    </w:p>
    <w:p>
      <w:pPr>
        <w:pStyle w:val="ListParagraph"/>
        <w:numPr>
          <w:ilvl w:val="0"/>
          <w:numId w:val="1"/>
        </w:numPr>
        <w:tabs>
          <w:tab w:pos="3854" w:val="left" w:leader="none"/>
          <w:tab w:pos="3855" w:val="left" w:leader="none"/>
        </w:tabs>
        <w:spacing w:line="240" w:lineRule="auto" w:before="36" w:after="0"/>
        <w:ind w:left="3854" w:right="0" w:hanging="3140"/>
        <w:jc w:val="left"/>
        <w:rPr>
          <w:b/>
          <w:sz w:val="23"/>
        </w:rPr>
      </w:pPr>
      <w:r>
        <w:rPr>
          <w:b/>
          <w:sz w:val="23"/>
        </w:rPr>
        <w:t>Resolución N°</w:t>
      </w:r>
      <w:r>
        <w:rPr>
          <w:b/>
          <w:spacing w:val="-15"/>
          <w:sz w:val="23"/>
        </w:rPr>
        <w:t> </w:t>
      </w:r>
      <w:r>
        <w:rPr>
          <w:b/>
          <w:sz w:val="23"/>
        </w:rPr>
        <w:t>000001-UARSCCM-2020</w:t>
      </w:r>
    </w:p>
    <w:p>
      <w:pPr>
        <w:pStyle w:val="BodyText"/>
        <w:spacing w:before="38"/>
        <w:ind w:left="715"/>
        <w:jc w:val="both"/>
      </w:pPr>
      <w:r>
        <w:rPr>
          <w:rFonts w:ascii="Times New Roman"/>
          <w:sz w:val="24"/>
        </w:rPr>
        <w:t>4</w:t>
      </w:r>
      <w:r>
        <w:rPr/>
        <w:t>Ciudad Quesada, a las diesciesis horas del seis de marzo de 2020.</w:t>
      </w:r>
    </w:p>
    <w:p>
      <w:pPr>
        <w:spacing w:line="271" w:lineRule="auto" w:before="36"/>
        <w:ind w:left="595" w:right="833" w:firstLine="120"/>
        <w:jc w:val="both"/>
        <w:rPr>
          <w:sz w:val="23"/>
        </w:rPr>
      </w:pPr>
      <w:r>
        <w:rPr>
          <w:rFonts w:ascii="Times New Roman" w:hAnsi="Times New Roman"/>
          <w:sz w:val="24"/>
        </w:rPr>
        <w:t>5</w:t>
      </w:r>
      <w:r>
        <w:rPr>
          <w:sz w:val="23"/>
        </w:rPr>
        <w:t>De conformidad con lo establecido en el articulo No. 2, inciso h) y 27 de la Ley de Contratación </w:t>
      </w:r>
      <w:r>
        <w:rPr>
          <w:rFonts w:ascii="Times New Roman" w:hAnsi="Times New Roman"/>
          <w:sz w:val="24"/>
        </w:rPr>
        <w:t>6</w:t>
      </w:r>
      <w:r>
        <w:rPr>
          <w:sz w:val="23"/>
        </w:rPr>
        <w:t>Administrativa así como el articulo Nº 86 y 144, del Reglamento a la Ley de Contratación </w:t>
      </w:r>
      <w:r>
        <w:rPr>
          <w:rFonts w:ascii="Times New Roman" w:hAnsi="Times New Roman"/>
          <w:sz w:val="24"/>
        </w:rPr>
        <w:t>7</w:t>
      </w:r>
      <w:r>
        <w:rPr>
          <w:sz w:val="23"/>
        </w:rPr>
        <w:t>Administrativa, y la autorización para adjudicar las contrataciones directas, otorgada por el Consejo </w:t>
      </w:r>
      <w:r>
        <w:rPr>
          <w:rFonts w:ascii="Times New Roman" w:hAnsi="Times New Roman"/>
          <w:sz w:val="24"/>
        </w:rPr>
        <w:t>8</w:t>
      </w:r>
      <w:r>
        <w:rPr>
          <w:sz w:val="23"/>
        </w:rPr>
        <w:t>Superior al Departamento de Proveeduría, en la sesión Nº 23-05, con vista en los antecedentes que </w:t>
      </w:r>
      <w:r>
        <w:rPr>
          <w:rFonts w:ascii="Times New Roman" w:hAnsi="Times New Roman"/>
          <w:sz w:val="24"/>
        </w:rPr>
        <w:t>9</w:t>
      </w:r>
      <w:r>
        <w:rPr>
          <w:sz w:val="23"/>
        </w:rPr>
        <w:t>constan en el expediente de la </w:t>
      </w:r>
      <w:r>
        <w:rPr>
          <w:b/>
          <w:sz w:val="23"/>
        </w:rPr>
        <w:t>Contratación Directa Nº 2020CD-000001-UARSCCM (Requisición N° </w:t>
      </w:r>
      <w:r>
        <w:rPr>
          <w:rFonts w:ascii="Times New Roman" w:hAnsi="Times New Roman"/>
          <w:sz w:val="24"/>
        </w:rPr>
        <w:t>10</w:t>
      </w:r>
      <w:r>
        <w:rPr>
          <w:b/>
          <w:sz w:val="23"/>
        </w:rPr>
        <w:t>000734-SR-2020), denominada: “Compra de llantas para la Unidad PJ 758 del OIJ San Carlos y la </w:t>
      </w:r>
      <w:r>
        <w:rPr>
          <w:rFonts w:ascii="Times New Roman" w:hAnsi="Times New Roman"/>
          <w:sz w:val="24"/>
        </w:rPr>
        <w:t>11</w:t>
      </w:r>
      <w:r>
        <w:rPr>
          <w:b/>
          <w:sz w:val="23"/>
        </w:rPr>
        <w:t>Unidad PJ 297 del OIJ San Carlos”</w:t>
      </w:r>
      <w:r>
        <w:rPr>
          <w:sz w:val="23"/>
        </w:rPr>
        <w:t>, según criterio técnico vertido por el Profesional 1 a.i. Olger Gustavo </w:t>
      </w:r>
      <w:r>
        <w:rPr>
          <w:rFonts w:ascii="Times New Roman" w:hAnsi="Times New Roman"/>
          <w:sz w:val="24"/>
        </w:rPr>
        <w:t>12</w:t>
      </w:r>
      <w:r>
        <w:rPr>
          <w:sz w:val="23"/>
        </w:rPr>
        <w:t>Quesada Abarca de la Delegación Regional de San Carlos y remitido mediante correo electrónico del 03 </w:t>
      </w:r>
      <w:r>
        <w:rPr>
          <w:rFonts w:ascii="Times New Roman" w:hAnsi="Times New Roman"/>
          <w:sz w:val="24"/>
        </w:rPr>
        <w:t>13</w:t>
      </w:r>
      <w:r>
        <w:rPr>
          <w:sz w:val="23"/>
        </w:rPr>
        <w:t>y 04 de marzo de 2020, se</w:t>
      </w:r>
      <w:r>
        <w:rPr>
          <w:spacing w:val="-4"/>
          <w:sz w:val="23"/>
        </w:rPr>
        <w:t> </w:t>
      </w:r>
      <w:r>
        <w:rPr>
          <w:sz w:val="23"/>
        </w:rPr>
        <w:t>concluye:</w:t>
      </w:r>
    </w:p>
    <w:p>
      <w:pPr>
        <w:pStyle w:val="Heading2"/>
        <w:spacing w:before="8"/>
        <w:ind w:left="595"/>
        <w:jc w:val="both"/>
      </w:pPr>
      <w:r>
        <w:rPr>
          <w:rFonts w:ascii="Times New Roman" w:hAnsi="Times New Roman"/>
          <w:b w:val="0"/>
          <w:sz w:val="24"/>
        </w:rPr>
        <w:t>14</w:t>
      </w:r>
      <w:r>
        <w:rPr/>
        <w:t>Análisis y Valoración:</w:t>
      </w:r>
    </w:p>
    <w:p>
      <w:pPr>
        <w:pStyle w:val="BodyText"/>
        <w:spacing w:line="271" w:lineRule="auto" w:before="35"/>
        <w:ind w:left="595" w:right="833"/>
        <w:jc w:val="both"/>
      </w:pPr>
      <w:r>
        <w:rPr>
          <w:rFonts w:ascii="Times New Roman" w:hAnsi="Times New Roman"/>
          <w:sz w:val="24"/>
        </w:rPr>
        <w:t>15</w:t>
      </w:r>
      <w:r>
        <w:rPr/>
        <w:t>En la presente contratación se tiene como primer resultado de la promoción de este procedimiento, la </w:t>
      </w:r>
      <w:r>
        <w:rPr>
          <w:rFonts w:ascii="Times New Roman" w:hAnsi="Times New Roman"/>
          <w:sz w:val="24"/>
        </w:rPr>
        <w:t>16</w:t>
      </w:r>
      <w:r>
        <w:rPr/>
        <w:t>participación de 3 oferentes: Oferta N° 1 Productos Lubricantes S.A., cédula jurídica 3-101-029473; </w:t>
      </w:r>
      <w:r>
        <w:rPr>
          <w:rFonts w:ascii="Times New Roman" w:hAnsi="Times New Roman"/>
          <w:sz w:val="24"/>
        </w:rPr>
        <w:t>17</w:t>
      </w:r>
      <w:r>
        <w:rPr/>
        <w:t>Oferta N° 2 Importadora Ad Nat S.A, cédula jurídica 3-101-167171; Oferta N° 3 G y R Grupo Asesor S.A., </w:t>
      </w:r>
      <w:r>
        <w:rPr>
          <w:rFonts w:ascii="Times New Roman" w:hAnsi="Times New Roman"/>
          <w:sz w:val="24"/>
        </w:rPr>
        <w:t>18</w:t>
      </w:r>
      <w:r>
        <w:rPr/>
        <w:t>cédula jurídica 3-101-576808.</w:t>
      </w:r>
    </w:p>
    <w:p>
      <w:pPr>
        <w:pStyle w:val="BodyText"/>
        <w:spacing w:line="271" w:lineRule="auto" w:before="2"/>
        <w:ind w:left="595" w:right="843"/>
        <w:jc w:val="both"/>
      </w:pPr>
      <w:r>
        <w:rPr>
          <w:rFonts w:ascii="Times New Roman" w:hAnsi="Times New Roman"/>
          <w:sz w:val="24"/>
        </w:rPr>
        <w:t>19</w:t>
      </w:r>
      <w:r>
        <w:rPr/>
        <w:t>Es dable indicar que de conformidad con lo establecido en el articulo 74 bis de la Ley Orgánica de la </w:t>
      </w:r>
      <w:r>
        <w:rPr>
          <w:rFonts w:ascii="Times New Roman" w:hAnsi="Times New Roman"/>
          <w:sz w:val="24"/>
        </w:rPr>
        <w:t>20</w:t>
      </w:r>
      <w:r>
        <w:rPr/>
        <w:t>C.C.S.S.; articulo</w:t>
      </w:r>
      <w:r>
        <w:rPr>
          <w:spacing w:val="-1"/>
        </w:rPr>
        <w:t> </w:t>
      </w:r>
      <w:r>
        <w:rPr/>
        <w:t>22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Ley</w:t>
      </w:r>
      <w:r>
        <w:rPr>
          <w:spacing w:val="-4"/>
        </w:rPr>
        <w:t> </w:t>
      </w:r>
      <w:r>
        <w:rPr/>
        <w:t>5602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articulo</w:t>
      </w:r>
      <w:r>
        <w:rPr>
          <w:spacing w:val="-2"/>
        </w:rPr>
        <w:t> </w:t>
      </w:r>
      <w:r>
        <w:rPr/>
        <w:t>65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Reglamento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Ley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Contratación</w:t>
      </w:r>
      <w:r>
        <w:rPr>
          <w:spacing w:val="-4"/>
        </w:rPr>
        <w:t> </w:t>
      </w:r>
      <w:r>
        <w:rPr/>
        <w:t>Administrativa, </w:t>
      </w:r>
      <w:r>
        <w:rPr>
          <w:rFonts w:ascii="Times New Roman" w:hAnsi="Times New Roman"/>
          <w:sz w:val="24"/>
        </w:rPr>
        <w:t>21</w:t>
      </w:r>
      <w:r>
        <w:rPr/>
        <w:t>en fecha 19 de febrero de 2020, esta Administración procedió a realizar consulta a los sistemas de la </w:t>
      </w:r>
      <w:r>
        <w:rPr>
          <w:rFonts w:ascii="Times New Roman" w:hAnsi="Times New Roman"/>
          <w:sz w:val="24"/>
        </w:rPr>
        <w:t>22</w:t>
      </w:r>
      <w:r>
        <w:rPr/>
        <w:t>C.C.S.S, Fodesaf y Ministerio de Hacienda con la ﬁnalidad de corroborar que cada uno de los </w:t>
      </w:r>
      <w:r>
        <w:rPr>
          <w:rFonts w:ascii="Times New Roman" w:hAnsi="Times New Roman"/>
          <w:sz w:val="24"/>
        </w:rPr>
        <w:t>23</w:t>
      </w:r>
      <w:r>
        <w:rPr/>
        <w:t>proveedores participantes se encuentra al día con el pago de la seguridad social e Impuestos. De </w:t>
      </w:r>
      <w:r>
        <w:rPr>
          <w:rFonts w:ascii="Times New Roman" w:hAnsi="Times New Roman"/>
          <w:sz w:val="24"/>
        </w:rPr>
        <w:t>24</w:t>
      </w:r>
      <w:r>
        <w:rPr/>
        <w:t>acuerdo con el resultado de las consultas, visibles en el expediente electrónico, los oferentes Productos </w:t>
      </w:r>
      <w:r>
        <w:rPr>
          <w:rFonts w:ascii="Times New Roman" w:hAnsi="Times New Roman"/>
          <w:sz w:val="24"/>
        </w:rPr>
        <w:t>25</w:t>
      </w:r>
      <w:r>
        <w:rPr/>
        <w:t>Lubricantes S.A., Importadora Ad Nat S.A., G y R Grupo Asesor S.A., a la fecha indicada se encontraban </w:t>
      </w:r>
      <w:r>
        <w:rPr>
          <w:rFonts w:ascii="Times New Roman" w:hAnsi="Times New Roman"/>
          <w:sz w:val="24"/>
        </w:rPr>
        <w:t>26</w:t>
      </w:r>
      <w:r>
        <w:rPr/>
        <w:t>al día con las Instituciones mencionadas, cumpliendo con lo establecido en la normativa</w:t>
      </w:r>
      <w:r>
        <w:rPr>
          <w:spacing w:val="-22"/>
        </w:rPr>
        <w:t> </w:t>
      </w:r>
      <w:r>
        <w:rPr/>
        <w:t>referida.</w:t>
      </w:r>
    </w:p>
    <w:p>
      <w:pPr>
        <w:pStyle w:val="BodyText"/>
        <w:spacing w:line="271" w:lineRule="auto" w:before="6"/>
        <w:ind w:left="595" w:right="836"/>
        <w:jc w:val="both"/>
      </w:pPr>
      <w:r>
        <w:rPr>
          <w:rFonts w:ascii="Times New Roman" w:hAnsi="Times New Roman"/>
          <w:sz w:val="24"/>
        </w:rPr>
        <w:t>27</w:t>
      </w:r>
      <w:r>
        <w:rPr/>
        <w:t>En este apartado se analizarán las prevenciones cursadas y el criterio técnico emitido por el Profesional </w:t>
      </w:r>
      <w:r>
        <w:rPr>
          <w:rFonts w:ascii="Times New Roman" w:hAnsi="Times New Roman"/>
          <w:sz w:val="24"/>
        </w:rPr>
        <w:t>28</w:t>
      </w:r>
      <w:r>
        <w:rPr/>
        <w:t>1 a.i. Olger Gustavo Quesada Abarca, para cada uno de los oferentes que participaron en esta </w:t>
      </w:r>
      <w:r>
        <w:rPr>
          <w:rFonts w:ascii="Times New Roman" w:hAnsi="Times New Roman"/>
          <w:sz w:val="24"/>
        </w:rPr>
        <w:t>29</w:t>
      </w:r>
      <w:r>
        <w:rPr/>
        <w:t>contratación, en virtud de lo anterior, se desprende lo siguiente:</w:t>
      </w:r>
    </w:p>
    <w:p>
      <w:pPr>
        <w:pStyle w:val="Heading2"/>
        <w:spacing w:before="3"/>
        <w:ind w:left="595"/>
        <w:jc w:val="both"/>
      </w:pPr>
      <w:r>
        <w:rPr>
          <w:rFonts w:ascii="Times New Roman" w:hAnsi="Times New Roman"/>
          <w:b w:val="0"/>
          <w:sz w:val="24"/>
        </w:rPr>
        <w:t>30</w:t>
      </w:r>
      <w:r>
        <w:rPr/>
        <w:t>Oferta N° 1 Productos Lubricantes S.A.</w:t>
      </w:r>
    </w:p>
    <w:p>
      <w:pPr>
        <w:pStyle w:val="BodyText"/>
        <w:spacing w:before="36"/>
        <w:ind w:left="595"/>
        <w:jc w:val="both"/>
      </w:pPr>
      <w:r>
        <w:rPr>
          <w:rFonts w:ascii="Times New Roman" w:hAnsi="Times New Roman"/>
          <w:sz w:val="24"/>
        </w:rPr>
        <w:t>31</w:t>
      </w:r>
      <w:r>
        <w:rPr/>
        <w:t>La oferta cumple con los requisitos de admisibilidad y especiﬁcaciones técnicas requeridas en el pliego</w:t>
      </w:r>
    </w:p>
    <w:p>
      <w:pPr>
        <w:pStyle w:val="BodyText"/>
        <w:spacing w:before="38"/>
        <w:ind w:left="595"/>
        <w:jc w:val="both"/>
      </w:pPr>
      <w:r>
        <w:rPr>
          <w:rFonts w:ascii="Times New Roman" w:hAnsi="Times New Roman"/>
          <w:sz w:val="24"/>
        </w:rPr>
        <w:t>32</w:t>
      </w:r>
      <w:r>
        <w:rPr/>
        <w:t>de condiciones para éste</w:t>
      </w:r>
      <w:r>
        <w:rPr>
          <w:spacing w:val="-12"/>
        </w:rPr>
        <w:t> </w:t>
      </w:r>
      <w:r>
        <w:rPr/>
        <w:t>concurso.</w:t>
      </w:r>
    </w:p>
    <w:p>
      <w:pPr>
        <w:pStyle w:val="BodyText"/>
        <w:spacing w:line="271" w:lineRule="auto" w:before="38"/>
        <w:ind w:left="595" w:right="835"/>
        <w:jc w:val="both"/>
      </w:pPr>
      <w:r>
        <w:rPr>
          <w:rFonts w:ascii="Times New Roman" w:hAnsi="Times New Roman"/>
          <w:sz w:val="24"/>
        </w:rPr>
        <w:t>33</w:t>
      </w:r>
      <w:r>
        <w:rPr/>
        <w:t>En lo que respecta a la razonabilidad del precio, se le cursó prevención a este oferente por precio </w:t>
      </w:r>
      <w:r>
        <w:rPr>
          <w:rFonts w:ascii="Times New Roman" w:hAnsi="Times New Roman"/>
          <w:sz w:val="24"/>
        </w:rPr>
        <w:t>34</w:t>
      </w:r>
      <w:r>
        <w:rPr/>
        <w:t>ruinoso, de conformidad con el articulo 30 inciso a), del Reglamento a la Ley de Contratación </w:t>
      </w:r>
      <w:r>
        <w:rPr>
          <w:rFonts w:ascii="Times New Roman" w:hAnsi="Times New Roman"/>
          <w:sz w:val="24"/>
        </w:rPr>
        <w:t>35</w:t>
      </w:r>
      <w:r>
        <w:rPr/>
        <w:t>Administrativa, esto mediante correo electrónico del pasado 26 de febrero, donde se le previno </w:t>
      </w:r>
      <w:r>
        <w:rPr>
          <w:rFonts w:ascii="Times New Roman" w:hAnsi="Times New Roman"/>
          <w:sz w:val="24"/>
        </w:rPr>
        <w:t>36</w:t>
      </w:r>
      <w:r>
        <w:rPr/>
        <w:t>justiﬁcar el precio ofertado en la línea No. 2; lo anterior, debido a que previo a iniciar el procedimiento </w:t>
      </w:r>
      <w:r>
        <w:rPr>
          <w:rFonts w:ascii="Times New Roman" w:hAnsi="Times New Roman"/>
          <w:sz w:val="24"/>
        </w:rPr>
        <w:t>37</w:t>
      </w:r>
      <w:r>
        <w:rPr/>
        <w:t>de compra, la oﬁcina solicitante determina un margen de tolerancia máximo y mínimo como resultado </w:t>
      </w:r>
      <w:r>
        <w:rPr>
          <w:rFonts w:ascii="Times New Roman" w:hAnsi="Times New Roman"/>
          <w:sz w:val="24"/>
        </w:rPr>
        <w:t>38</w:t>
      </w:r>
      <w:r>
        <w:rPr/>
        <w:t>del estudio de mercado realizado, el cual se adjunta cuadro, ya que el precio ofertado está por debajo </w:t>
      </w:r>
      <w:r>
        <w:rPr>
          <w:rFonts w:ascii="Times New Roman" w:hAnsi="Times New Roman"/>
          <w:sz w:val="24"/>
        </w:rPr>
        <w:t>39</w:t>
      </w:r>
      <w:r>
        <w:rPr/>
        <w:t>de acuerdo al estudio de mercado.</w:t>
      </w:r>
    </w:p>
    <w:p>
      <w:pPr>
        <w:spacing w:after="0" w:line="271" w:lineRule="auto"/>
        <w:jc w:val="both"/>
        <w:sectPr>
          <w:type w:val="continuous"/>
          <w:pgSz w:w="12240" w:h="15840"/>
          <w:pgMar w:top="1040" w:bottom="280" w:left="300" w:right="5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6.759998pt;margin-top:56.639999pt;width:497.9pt;height:657.6pt;mso-position-horizontal-relative:page;mso-position-vertical-relative:page;z-index:251658240" coordorigin="1135,1133" coordsize="9958,13152">
            <v:shape style="position:absolute;left:1135;top:1132;width:9958;height:2458" type="#_x0000_t75" stroked="false">
              <v:imagedata r:id="rId5" o:title=""/>
            </v:shape>
            <v:shape style="position:absolute;left:1135;top:3590;width:9958;height:2458" type="#_x0000_t75" stroked="false">
              <v:imagedata r:id="rId6" o:title=""/>
            </v:shape>
            <v:shape style="position:absolute;left:1135;top:6048;width:9958;height:2458" type="#_x0000_t75" stroked="false">
              <v:imagedata r:id="rId7" o:title=""/>
            </v:shape>
            <v:shape style="position:absolute;left:1135;top:8505;width:9958;height:2458" type="#_x0000_t75" stroked="false">
              <v:imagedata r:id="rId8" o:title=""/>
            </v:shape>
            <v:shape style="position:absolute;left:1135;top:10963;width:9958;height:2458" type="#_x0000_t75" stroked="false">
              <v:imagedata r:id="rId9" o:title=""/>
            </v:shape>
            <v:shape style="position:absolute;left:1135;top:13420;width:9958;height:86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spacing w:line="271" w:lineRule="exact" w:before="90"/>
      </w:pPr>
      <w:r>
        <w:rPr/>
        <w:t>40</w:t>
      </w:r>
    </w:p>
    <w:p>
      <w:pPr>
        <w:spacing w:line="271" w:lineRule="exact" w:before="0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41</w:t>
      </w:r>
    </w:p>
    <w:p>
      <w:pPr>
        <w:spacing w:before="46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42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43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44</w:t>
      </w:r>
    </w:p>
    <w:p>
      <w:pPr>
        <w:spacing w:before="46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45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46</w:t>
      </w:r>
    </w:p>
    <w:p>
      <w:pPr>
        <w:spacing w:before="45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47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48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49</w:t>
      </w:r>
    </w:p>
    <w:p>
      <w:pPr>
        <w:spacing w:before="46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50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51</w:t>
      </w:r>
    </w:p>
    <w:p>
      <w:pPr>
        <w:spacing w:before="45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52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53</w:t>
      </w:r>
    </w:p>
    <w:p>
      <w:pPr>
        <w:spacing w:before="46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54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55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56</w:t>
      </w:r>
    </w:p>
    <w:p>
      <w:pPr>
        <w:spacing w:before="46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57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58</w:t>
      </w:r>
    </w:p>
    <w:p>
      <w:pPr>
        <w:spacing w:before="45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59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60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61</w:t>
      </w:r>
    </w:p>
    <w:p>
      <w:pPr>
        <w:spacing w:before="46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62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63</w:t>
      </w:r>
    </w:p>
    <w:p>
      <w:pPr>
        <w:spacing w:before="46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64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65</w:t>
      </w:r>
    </w:p>
    <w:p>
      <w:pPr>
        <w:spacing w:before="45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66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67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68</w:t>
      </w:r>
    </w:p>
    <w:p>
      <w:pPr>
        <w:spacing w:before="46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69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70</w:t>
      </w:r>
    </w:p>
    <w:p>
      <w:pPr>
        <w:spacing w:before="46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71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72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73</w:t>
      </w:r>
    </w:p>
    <w:p>
      <w:pPr>
        <w:spacing w:before="45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74</w:t>
      </w:r>
    </w:p>
    <w:p>
      <w:pPr>
        <w:spacing w:before="48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75</w:t>
      </w:r>
    </w:p>
    <w:p>
      <w:pPr>
        <w:spacing w:before="46"/>
        <w:ind w:left="5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76</w:t>
      </w:r>
    </w:p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top="1140" w:bottom="280" w:left="300" w:right="580"/>
        </w:sectPr>
      </w:pPr>
    </w:p>
    <w:p>
      <w:pPr>
        <w:pStyle w:val="BodyText"/>
        <w:ind w:left="47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9.75pt;height:657.6pt;mso-position-horizontal-relative:char;mso-position-vertical-relative:line" coordorigin="0,0" coordsize="10395,13152">
            <v:shape style="position:absolute;left:0;top:0;width:10395;height:2458" type="#_x0000_t75" stroked="false">
              <v:imagedata r:id="rId11" o:title=""/>
            </v:shape>
            <v:shape style="position:absolute;left:0;top:2457;width:10395;height:2458" type="#_x0000_t75" stroked="false">
              <v:imagedata r:id="rId12" o:title=""/>
            </v:shape>
            <v:shape style="position:absolute;left:0;top:4915;width:10395;height:2458" type="#_x0000_t75" stroked="false">
              <v:imagedata r:id="rId13" o:title=""/>
            </v:shape>
            <v:shape style="position:absolute;left:0;top:7372;width:10395;height:2458" type="#_x0000_t75" stroked="false">
              <v:imagedata r:id="rId14" o:title=""/>
            </v:shape>
            <v:shape style="position:absolute;left:0;top:9830;width:10395;height:2458" type="#_x0000_t75" stroked="false">
              <v:imagedata r:id="rId15" o:title=""/>
            </v:shape>
            <v:shape style="position:absolute;left:0;top:12288;width:10395;height:864" type="#_x0000_t75" stroked="false">
              <v:imagedata r:id="rId1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140" w:bottom="280" w:left="300" w:right="5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56.759998pt;margin-top:56.639999pt;width:498.75pt;height:657.6pt;mso-position-horizontal-relative:page;mso-position-vertical-relative:page;z-index:251660288" coordorigin="1135,1133" coordsize="9975,13152">
            <v:shape style="position:absolute;left:1135;top:1132;width:9975;height:2458" type="#_x0000_t75" stroked="false">
              <v:imagedata r:id="rId17" o:title=""/>
            </v:shape>
            <v:shape style="position:absolute;left:1135;top:3590;width:9975;height:2458" type="#_x0000_t75" stroked="false">
              <v:imagedata r:id="rId18" o:title=""/>
            </v:shape>
            <v:shape style="position:absolute;left:1135;top:6048;width:9975;height:2458" type="#_x0000_t75" stroked="false">
              <v:imagedata r:id="rId19" o:title=""/>
            </v:shape>
            <v:shape style="position:absolute;left:1135;top:8505;width:9975;height:2458" type="#_x0000_t75" stroked="false">
              <v:imagedata r:id="rId20" o:title=""/>
            </v:shape>
            <v:shape style="position:absolute;left:1135;top:10963;width:9975;height:2458" type="#_x0000_t75" stroked="false">
              <v:imagedata r:id="rId21" o:title=""/>
            </v:shape>
            <v:shape style="position:absolute;left:1135;top:13420;width:9975;height:864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spacing w:line="271" w:lineRule="exact" w:before="90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106</w:t>
      </w:r>
    </w:p>
    <w:p>
      <w:pPr>
        <w:spacing w:line="271" w:lineRule="exact" w:before="0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107</w:t>
      </w:r>
    </w:p>
    <w:p>
      <w:pPr>
        <w:spacing w:before="46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108</w:t>
      </w:r>
    </w:p>
    <w:p>
      <w:pPr>
        <w:spacing w:before="31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109</w:t>
      </w:r>
    </w:p>
    <w:p>
      <w:pPr>
        <w:spacing w:before="0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110</w:t>
      </w:r>
    </w:p>
    <w:p>
      <w:pPr>
        <w:spacing w:before="48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111</w:t>
      </w:r>
    </w:p>
    <w:p>
      <w:pPr>
        <w:spacing w:before="46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112</w:t>
      </w:r>
    </w:p>
    <w:p>
      <w:pPr>
        <w:spacing w:before="48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113</w:t>
      </w:r>
    </w:p>
    <w:p>
      <w:pPr>
        <w:spacing w:before="46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114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spacing w:before="0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115</w:t>
      </w:r>
    </w:p>
    <w:p>
      <w:pPr>
        <w:spacing w:before="48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116</w:t>
      </w:r>
    </w:p>
    <w:p>
      <w:pPr>
        <w:spacing w:before="46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117</w:t>
      </w:r>
    </w:p>
    <w:p>
      <w:pPr>
        <w:spacing w:before="48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118</w:t>
      </w:r>
    </w:p>
    <w:p>
      <w:pPr>
        <w:spacing w:before="45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119</w:t>
      </w:r>
    </w:p>
    <w:p>
      <w:pPr>
        <w:spacing w:before="48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120</w:t>
      </w:r>
    </w:p>
    <w:p>
      <w:pPr>
        <w:spacing w:before="48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121</w:t>
      </w:r>
    </w:p>
    <w:p>
      <w:pPr>
        <w:spacing w:before="46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122</w:t>
      </w:r>
    </w:p>
    <w:p>
      <w:pPr>
        <w:spacing w:before="48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123</w:t>
      </w:r>
    </w:p>
    <w:p>
      <w:pPr>
        <w:spacing w:before="46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124</w:t>
      </w:r>
    </w:p>
    <w:p>
      <w:pPr>
        <w:spacing w:before="48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125</w:t>
      </w:r>
    </w:p>
    <w:p>
      <w:pPr>
        <w:spacing w:before="48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126</w:t>
      </w:r>
    </w:p>
    <w:p>
      <w:pPr>
        <w:spacing w:before="45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127</w:t>
      </w:r>
    </w:p>
    <w:p>
      <w:pPr>
        <w:spacing w:before="48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128</w:t>
      </w:r>
    </w:p>
    <w:p>
      <w:pPr>
        <w:spacing w:before="46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129</w:t>
      </w:r>
    </w:p>
    <w:p>
      <w:pPr>
        <w:spacing w:before="48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130</w:t>
      </w:r>
    </w:p>
    <w:p>
      <w:pPr>
        <w:spacing w:before="46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131</w:t>
      </w:r>
    </w:p>
    <w:p>
      <w:pPr>
        <w:spacing w:before="48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132</w:t>
      </w:r>
    </w:p>
    <w:p>
      <w:pPr>
        <w:spacing w:before="48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133</w:t>
      </w:r>
    </w:p>
    <w:p>
      <w:pPr>
        <w:spacing w:before="45"/>
        <w:ind w:left="47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134</w:t>
      </w:r>
    </w:p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top="1140" w:bottom="280" w:left="300" w:right="580"/>
        </w:sectPr>
      </w:pPr>
    </w:p>
    <w:p>
      <w:pPr>
        <w:pStyle w:val="BodyText"/>
        <w:spacing w:before="74"/>
        <w:ind w:left="475"/>
      </w:pPr>
      <w:r>
        <w:rPr>
          <w:rFonts w:ascii="Times New Roman" w:hAnsi="Times New Roman"/>
          <w:sz w:val="24"/>
        </w:rPr>
        <w:t>135</w:t>
      </w:r>
      <w:r>
        <w:rPr/>
        <w:t>de recibido el pedido, ya sea vía fax o correo electrónico. En cuanto a la garantia se detalla en cada una</w:t>
      </w:r>
    </w:p>
    <w:p>
      <w:pPr>
        <w:pStyle w:val="BodyText"/>
        <w:spacing w:before="36" w:after="39"/>
        <w:ind w:left="475"/>
      </w:pPr>
      <w:r>
        <w:rPr>
          <w:rFonts w:ascii="Times New Roman" w:hAnsi="Times New Roman"/>
          <w:sz w:val="24"/>
        </w:rPr>
        <w:t>136</w:t>
      </w:r>
      <w:r>
        <w:rPr/>
        <w:t>de las siguientes líneas:</w:t>
      </w:r>
    </w:p>
    <w:tbl>
      <w:tblPr>
        <w:tblW w:w="0" w:type="auto"/>
        <w:jc w:val="left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9"/>
        <w:gridCol w:w="708"/>
        <w:gridCol w:w="994"/>
        <w:gridCol w:w="5259"/>
        <w:gridCol w:w="1815"/>
        <w:gridCol w:w="1489"/>
      </w:tblGrid>
      <w:tr>
        <w:trPr>
          <w:trHeight w:val="287" w:hRule="atLeast"/>
        </w:trPr>
        <w:tc>
          <w:tcPr>
            <w:tcW w:w="869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60" w:lineRule="exact" w:before="7"/>
              <w:ind w:left="133" w:right="11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LÍNEA</w:t>
            </w:r>
          </w:p>
        </w:tc>
        <w:tc>
          <w:tcPr>
            <w:tcW w:w="70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60" w:lineRule="exact" w:before="7"/>
              <w:ind w:left="62" w:right="5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CANT</w:t>
            </w:r>
          </w:p>
        </w:tc>
        <w:tc>
          <w:tcPr>
            <w:tcW w:w="994" w:type="dxa"/>
          </w:tcPr>
          <w:p>
            <w:pPr>
              <w:pStyle w:val="TableParagraph"/>
              <w:spacing w:line="260" w:lineRule="exact" w:before="7"/>
              <w:ind w:left="79" w:right="6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UNIDAD</w:t>
            </w:r>
          </w:p>
        </w:tc>
        <w:tc>
          <w:tcPr>
            <w:tcW w:w="5259" w:type="dxa"/>
          </w:tcPr>
          <w:p>
            <w:pPr>
              <w:pStyle w:val="TableParagraph"/>
              <w:spacing w:line="260" w:lineRule="exact" w:before="7"/>
              <w:ind w:left="1472"/>
              <w:rPr>
                <w:b/>
                <w:sz w:val="23"/>
              </w:rPr>
            </w:pPr>
            <w:r>
              <w:rPr>
                <w:b/>
                <w:sz w:val="23"/>
              </w:rPr>
              <w:t>DESCRIPCIÓN ARTICULO</w:t>
            </w:r>
          </w:p>
        </w:tc>
        <w:tc>
          <w:tcPr>
            <w:tcW w:w="1815" w:type="dxa"/>
          </w:tcPr>
          <w:p>
            <w:pPr>
              <w:pStyle w:val="TableParagraph"/>
              <w:spacing w:line="267" w:lineRule="exact"/>
              <w:ind w:left="50" w:right="3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COSTO UNITARIO</w:t>
            </w:r>
          </w:p>
        </w:tc>
        <w:tc>
          <w:tcPr>
            <w:tcW w:w="1489" w:type="dxa"/>
          </w:tcPr>
          <w:p>
            <w:pPr>
              <w:pStyle w:val="TableParagraph"/>
              <w:spacing w:line="260" w:lineRule="exact" w:before="7"/>
              <w:ind w:left="58" w:right="4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COSTO TOTAL</w:t>
            </w:r>
          </w:p>
        </w:tc>
      </w:tr>
      <w:tr>
        <w:trPr>
          <w:trHeight w:val="5545" w:hRule="atLeast"/>
        </w:trPr>
        <w:tc>
          <w:tcPr>
            <w:tcW w:w="869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sz w:val="23"/>
              </w:rPr>
            </w:pPr>
            <w:r>
              <w:rPr>
                <w:w w:val="99"/>
                <w:sz w:val="23"/>
              </w:rPr>
              <w:t>1</w:t>
            </w:r>
          </w:p>
        </w:tc>
        <w:tc>
          <w:tcPr>
            <w:tcW w:w="70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3"/>
              </w:rPr>
            </w:pPr>
            <w:r>
              <w:rPr>
                <w:w w:val="99"/>
                <w:sz w:val="23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before="1"/>
              <w:ind w:left="74" w:right="67"/>
              <w:jc w:val="center"/>
              <w:rPr>
                <w:sz w:val="23"/>
              </w:rPr>
            </w:pPr>
            <w:r>
              <w:rPr>
                <w:sz w:val="23"/>
              </w:rPr>
              <w:t>Unidad</w:t>
            </w:r>
          </w:p>
        </w:tc>
        <w:tc>
          <w:tcPr>
            <w:tcW w:w="5259" w:type="dxa"/>
          </w:tcPr>
          <w:p>
            <w:pPr>
              <w:pStyle w:val="TableParagraph"/>
              <w:ind w:left="68" w:right="54"/>
              <w:jc w:val="both"/>
              <w:rPr>
                <w:sz w:val="22"/>
              </w:rPr>
            </w:pPr>
            <w:r>
              <w:rPr>
                <w:b/>
                <w:color w:val="202020"/>
                <w:sz w:val="22"/>
              </w:rPr>
              <w:t>Compra de llantas tipo 265/65/R18 1145AT771 MAXXIS </w:t>
            </w:r>
            <w:r>
              <w:rPr>
                <w:color w:val="202020"/>
                <w:sz w:val="22"/>
              </w:rPr>
              <w:t>1 (una) llanta para la U</w:t>
            </w:r>
            <w:r>
              <w:rPr>
                <w:sz w:val="22"/>
              </w:rPr>
              <w:t>nidad PJ 758, Isuzu D-Max, placa CL 31176, año 2018 ,asignada al O.I.J de San Carlos, </w:t>
            </w:r>
            <w:r>
              <w:rPr>
                <w:color w:val="202020"/>
                <w:sz w:val="22"/>
              </w:rPr>
              <w:t>.</w:t>
            </w:r>
          </w:p>
          <w:p>
            <w:pPr>
              <w:pStyle w:val="TableParagraph"/>
              <w:spacing w:before="3"/>
              <w:ind w:left="68"/>
              <w:jc w:val="both"/>
              <w:rPr>
                <w:sz w:val="22"/>
              </w:rPr>
            </w:pPr>
            <w:r>
              <w:rPr>
                <w:color w:val="202020"/>
                <w:sz w:val="22"/>
              </w:rPr>
              <w:t>Especiﬁcaciones técnicas: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08" w:val="left" w:leader="none"/>
                <w:tab w:pos="1509" w:val="left" w:leader="none"/>
              </w:tabs>
              <w:spacing w:line="240" w:lineRule="auto" w:before="0" w:after="0"/>
              <w:ind w:left="150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Llanta radial.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08" w:val="left" w:leader="none"/>
                <w:tab w:pos="1509" w:val="left" w:leader="none"/>
              </w:tabs>
              <w:spacing w:line="240" w:lineRule="auto" w:before="1" w:after="0"/>
              <w:ind w:left="150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Medida: 265/65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R18.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08" w:val="left" w:leader="none"/>
                <w:tab w:pos="1509" w:val="left" w:leader="none"/>
              </w:tabs>
              <w:spacing w:line="240" w:lineRule="auto" w:before="0" w:after="0"/>
              <w:ind w:left="150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Diseño: Doble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Servicio.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08" w:val="left" w:leader="none"/>
                <w:tab w:pos="1509" w:val="left" w:leader="none"/>
              </w:tabs>
              <w:spacing w:line="240" w:lineRule="auto" w:before="0" w:after="0"/>
              <w:ind w:left="150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índice de carga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112.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08" w:val="left" w:leader="none"/>
                <w:tab w:pos="1509" w:val="left" w:leader="none"/>
              </w:tabs>
              <w:spacing w:line="240" w:lineRule="auto" w:before="0" w:after="0"/>
              <w:ind w:left="150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DOT no mayor a un año 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fabricación.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08" w:val="left" w:leader="none"/>
                <w:tab w:pos="1509" w:val="left" w:leader="none"/>
              </w:tabs>
              <w:spacing w:line="240" w:lineRule="auto" w:before="1" w:after="0"/>
              <w:ind w:left="1508" w:right="554" w:hanging="360"/>
              <w:jc w:val="left"/>
              <w:rPr>
                <w:sz w:val="22"/>
              </w:rPr>
            </w:pPr>
            <w:r>
              <w:rPr>
                <w:sz w:val="22"/>
              </w:rPr>
              <w:t>Incluye incluir instalación,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tramado, balanceo válvulas nuevas.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08" w:val="left" w:leader="none"/>
                <w:tab w:pos="1509" w:val="left" w:leader="none"/>
              </w:tabs>
              <w:spacing w:line="240" w:lineRule="auto" w:before="0" w:after="0"/>
              <w:ind w:left="1508" w:right="146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Plazo máximo de entrega: </w:t>
            </w:r>
            <w:r>
              <w:rPr>
                <w:sz w:val="22"/>
              </w:rPr>
              <w:t>5 (cinco)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días hábiles después de recibido el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pedido.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08" w:val="left" w:leader="none"/>
                <w:tab w:pos="1509" w:val="left" w:leader="none"/>
              </w:tabs>
              <w:spacing w:line="240" w:lineRule="auto" w:before="1" w:after="0"/>
              <w:ind w:left="1508" w:right="380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Garantia mínima: </w:t>
            </w:r>
            <w:r>
              <w:rPr>
                <w:sz w:val="22"/>
              </w:rPr>
              <w:t>60 (sesenta) meses contra defectos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fabricación.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08" w:val="left" w:leader="none"/>
                <w:tab w:pos="1509" w:val="left" w:leader="none"/>
              </w:tabs>
              <w:spacing w:line="273" w:lineRule="auto" w:before="2" w:after="0"/>
              <w:ind w:left="1508" w:right="54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Lugar de entrega: </w:t>
            </w:r>
            <w:r>
              <w:rPr>
                <w:sz w:val="22"/>
              </w:rPr>
              <w:t>Instalaciones del proveedor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adjudicado.</w:t>
            </w:r>
          </w:p>
          <w:p>
            <w:pPr>
              <w:pStyle w:val="TableParagraph"/>
              <w:spacing w:line="276" w:lineRule="auto" w:before="5"/>
              <w:ind w:left="68" w:right="59"/>
              <w:rPr>
                <w:sz w:val="22"/>
              </w:rPr>
            </w:pPr>
            <w:r>
              <w:rPr>
                <w:sz w:val="22"/>
              </w:rPr>
              <w:t>Y demás especiﬁcaciones técnicas descritas en el cartel, la oferta presentada.</w:t>
            </w:r>
          </w:p>
        </w:tc>
        <w:tc>
          <w:tcPr>
            <w:tcW w:w="1815" w:type="dxa"/>
          </w:tcPr>
          <w:p>
            <w:pPr>
              <w:pStyle w:val="TableParagraph"/>
              <w:spacing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before="1"/>
              <w:ind w:left="50" w:right="38"/>
              <w:jc w:val="center"/>
              <w:rPr>
                <w:sz w:val="23"/>
              </w:rPr>
            </w:pPr>
            <w:r>
              <w:rPr>
                <w:sz w:val="23"/>
              </w:rPr>
              <w:t>¢ 90.580,58</w:t>
            </w:r>
          </w:p>
        </w:tc>
        <w:tc>
          <w:tcPr>
            <w:tcW w:w="1489" w:type="dxa"/>
          </w:tcPr>
          <w:p>
            <w:pPr>
              <w:pStyle w:val="TableParagraph"/>
              <w:spacing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before="1"/>
              <w:ind w:left="58" w:right="47"/>
              <w:jc w:val="center"/>
              <w:rPr>
                <w:sz w:val="23"/>
              </w:rPr>
            </w:pPr>
            <w:r>
              <w:rPr>
                <w:sz w:val="23"/>
              </w:rPr>
              <w:t>¢ 90.580,58</w:t>
            </w:r>
          </w:p>
        </w:tc>
      </w:tr>
      <w:tr>
        <w:trPr>
          <w:trHeight w:val="6453" w:hRule="atLeast"/>
        </w:trPr>
        <w:tc>
          <w:tcPr>
            <w:tcW w:w="869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"/>
              <w:ind w:left="18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2</w:t>
            </w:r>
          </w:p>
        </w:tc>
        <w:tc>
          <w:tcPr>
            <w:tcW w:w="70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"/>
              <w:ind w:left="5"/>
              <w:jc w:val="center"/>
              <w:rPr>
                <w:sz w:val="23"/>
              </w:rPr>
            </w:pPr>
            <w:r>
              <w:rPr>
                <w:w w:val="99"/>
                <w:sz w:val="23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ind w:left="74" w:right="67"/>
              <w:jc w:val="center"/>
              <w:rPr>
                <w:sz w:val="23"/>
              </w:rPr>
            </w:pPr>
            <w:r>
              <w:rPr>
                <w:sz w:val="23"/>
              </w:rPr>
              <w:t>Unidad</w:t>
            </w:r>
          </w:p>
        </w:tc>
        <w:tc>
          <w:tcPr>
            <w:tcW w:w="5259" w:type="dxa"/>
          </w:tcPr>
          <w:p>
            <w:pPr>
              <w:pStyle w:val="TableParagraph"/>
              <w:spacing w:before="2"/>
              <w:ind w:left="68"/>
              <w:rPr>
                <w:b/>
                <w:sz w:val="22"/>
              </w:rPr>
            </w:pPr>
            <w:r>
              <w:rPr>
                <w:b/>
                <w:color w:val="202020"/>
                <w:sz w:val="22"/>
              </w:rPr>
              <w:t>Compra de llantas tipo 255/60/R18, marca Hankook, Dynapro AT2.</w:t>
            </w:r>
          </w:p>
          <w:p>
            <w:pPr>
              <w:pStyle w:val="TableParagraph"/>
              <w:spacing w:before="1"/>
              <w:ind w:left="68"/>
              <w:rPr>
                <w:sz w:val="22"/>
              </w:rPr>
            </w:pPr>
            <w:r>
              <w:rPr>
                <w:color w:val="202020"/>
                <w:sz w:val="22"/>
              </w:rPr>
              <w:t>4 (cuatro) llantas para la U</w:t>
            </w:r>
            <w:r>
              <w:rPr>
                <w:sz w:val="22"/>
              </w:rPr>
              <w:t>nidad PJ 297, Nissan Frontier, placa 307598, año 2018 ,asignada al O.I.J. La Fortuna</w:t>
            </w:r>
            <w:r>
              <w:rPr>
                <w:color w:val="202020"/>
                <w:sz w:val="22"/>
              </w:rPr>
              <w:t>.</w:t>
            </w:r>
          </w:p>
          <w:p>
            <w:pPr>
              <w:pStyle w:val="TableParagraph"/>
              <w:ind w:left="68"/>
              <w:rPr>
                <w:sz w:val="22"/>
              </w:rPr>
            </w:pPr>
            <w:r>
              <w:rPr>
                <w:color w:val="202020"/>
                <w:sz w:val="22"/>
              </w:rPr>
              <w:t>Especiﬁcaciones técnicas: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508" w:val="left" w:leader="none"/>
                <w:tab w:pos="1509" w:val="left" w:leader="none"/>
              </w:tabs>
              <w:spacing w:line="240" w:lineRule="auto" w:before="1" w:after="0"/>
              <w:ind w:left="150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Llanta radial.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508" w:val="left" w:leader="none"/>
                <w:tab w:pos="1509" w:val="left" w:leader="none"/>
              </w:tabs>
              <w:spacing w:line="240" w:lineRule="auto" w:before="0" w:after="0"/>
              <w:ind w:left="150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Medida: 255/60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R18.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508" w:val="left" w:leader="none"/>
                <w:tab w:pos="1509" w:val="left" w:leader="none"/>
              </w:tabs>
              <w:spacing w:line="240" w:lineRule="auto" w:before="0" w:after="0"/>
              <w:ind w:left="150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Diseño: Doble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Servicio.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508" w:val="left" w:leader="none"/>
                <w:tab w:pos="1509" w:val="left" w:leader="none"/>
              </w:tabs>
              <w:spacing w:line="240" w:lineRule="auto" w:before="0" w:after="0"/>
              <w:ind w:left="150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índice de carga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112.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508" w:val="left" w:leader="none"/>
                <w:tab w:pos="1509" w:val="left" w:leader="none"/>
              </w:tabs>
              <w:spacing w:line="240" w:lineRule="auto" w:before="3" w:after="0"/>
              <w:ind w:left="150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DOT no mayor a un año 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fabricación.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508" w:val="left" w:leader="none"/>
                <w:tab w:pos="1509" w:val="left" w:leader="none"/>
              </w:tabs>
              <w:spacing w:line="240" w:lineRule="auto" w:before="0" w:after="0"/>
              <w:ind w:left="1508" w:right="554" w:hanging="360"/>
              <w:jc w:val="left"/>
              <w:rPr>
                <w:sz w:val="22"/>
              </w:rPr>
            </w:pPr>
            <w:r>
              <w:rPr>
                <w:sz w:val="22"/>
              </w:rPr>
              <w:t>Incluye incluir instalación,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tramado, balanceo válvulas nuevas.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508" w:val="left" w:leader="none"/>
                <w:tab w:pos="1509" w:val="left" w:leader="none"/>
              </w:tabs>
              <w:spacing w:line="240" w:lineRule="auto" w:before="1" w:after="0"/>
              <w:ind w:left="1508" w:right="265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Plazo máximo de entrega: 3 </w:t>
            </w:r>
            <w:r>
              <w:rPr>
                <w:sz w:val="22"/>
              </w:rPr>
              <w:t>(tres) días hábiles después de recibido el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pedido.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508" w:val="left" w:leader="none"/>
                <w:tab w:pos="1509" w:val="left" w:leader="none"/>
              </w:tabs>
              <w:spacing w:line="240" w:lineRule="auto" w:before="0" w:after="0"/>
              <w:ind w:left="1508" w:right="102" w:hanging="360"/>
              <w:jc w:val="left"/>
              <w:rPr>
                <w:sz w:val="22"/>
              </w:rPr>
            </w:pPr>
            <w:r>
              <w:rPr>
                <w:b/>
                <w:color w:val="202020"/>
                <w:sz w:val="22"/>
              </w:rPr>
              <w:t>Garantia mínima: </w:t>
            </w:r>
            <w:r>
              <w:rPr>
                <w:sz w:val="22"/>
              </w:rPr>
              <w:t>Se ofrece una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garantia de </w:t>
            </w:r>
            <w:r>
              <w:rPr>
                <w:b/>
                <w:sz w:val="22"/>
              </w:rPr>
              <w:t>6 (seis) años </w:t>
            </w:r>
            <w:r>
              <w:rPr>
                <w:sz w:val="22"/>
              </w:rPr>
              <w:t>a partir de la fecha de fabricación, </w:t>
            </w:r>
            <w:r>
              <w:rPr>
                <w:spacing w:val="-3"/>
                <w:sz w:val="22"/>
              </w:rPr>
              <w:t>contra defecto </w:t>
            </w:r>
            <w:r>
              <w:rPr>
                <w:sz w:val="22"/>
              </w:rPr>
              <w:t>de manufacturación o fabricación, hasta que la llanta </w:t>
            </w:r>
            <w:r>
              <w:rPr>
                <w:spacing w:val="-3"/>
                <w:sz w:val="22"/>
              </w:rPr>
              <w:t>tenga </w:t>
            </w:r>
            <w:r>
              <w:rPr>
                <w:sz w:val="22"/>
              </w:rPr>
              <w:t>un remanente de 2 mm en su banda de rodamiento. Las garantias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serán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efectivas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contra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defectos de la reparación o fabricación, en condiciones normales de uso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line="243" w:lineRule="exact" w:before="5"/>
              <w:rPr>
                <w:sz w:val="22"/>
              </w:rPr>
            </w:pPr>
            <w:r>
              <w:rPr>
                <w:sz w:val="22"/>
              </w:rPr>
              <w:t>manipulación. Las garantias ofrecidas se</w:t>
            </w:r>
          </w:p>
        </w:tc>
        <w:tc>
          <w:tcPr>
            <w:tcW w:w="1815" w:type="dxa"/>
          </w:tcPr>
          <w:p>
            <w:pPr>
              <w:pStyle w:val="TableParagraph"/>
              <w:spacing w:before="9"/>
              <w:ind w:left="0"/>
              <w:rPr>
                <w:sz w:val="26"/>
              </w:rPr>
            </w:pPr>
          </w:p>
          <w:p>
            <w:pPr>
              <w:pStyle w:val="TableParagraph"/>
              <w:ind w:left="50" w:right="38"/>
              <w:jc w:val="center"/>
              <w:rPr>
                <w:sz w:val="23"/>
              </w:rPr>
            </w:pPr>
            <w:r>
              <w:rPr>
                <w:sz w:val="23"/>
              </w:rPr>
              <w:t>¢ 79.100,00</w:t>
            </w:r>
          </w:p>
        </w:tc>
        <w:tc>
          <w:tcPr>
            <w:tcW w:w="1489" w:type="dxa"/>
          </w:tcPr>
          <w:p>
            <w:pPr>
              <w:pStyle w:val="TableParagraph"/>
              <w:spacing w:before="9"/>
              <w:ind w:left="0"/>
              <w:rPr>
                <w:sz w:val="26"/>
              </w:rPr>
            </w:pPr>
          </w:p>
          <w:p>
            <w:pPr>
              <w:pStyle w:val="TableParagraph"/>
              <w:ind w:left="55" w:right="48"/>
              <w:jc w:val="center"/>
              <w:rPr>
                <w:sz w:val="23"/>
              </w:rPr>
            </w:pPr>
            <w:r>
              <w:rPr>
                <w:sz w:val="23"/>
              </w:rPr>
              <w:t>¢ 316.400,00</w:t>
            </w:r>
          </w:p>
        </w:tc>
      </w:tr>
    </w:tbl>
    <w:p>
      <w:pPr>
        <w:spacing w:after="0"/>
        <w:jc w:val="center"/>
        <w:rPr>
          <w:sz w:val="23"/>
        </w:rPr>
        <w:sectPr>
          <w:pgSz w:w="12240" w:h="15840"/>
          <w:pgMar w:top="1060" w:bottom="280" w:left="300" w:right="580"/>
        </w:sectPr>
      </w:pPr>
    </w:p>
    <w:tbl>
      <w:tblPr>
        <w:tblW w:w="0" w:type="auto"/>
        <w:jc w:val="left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9"/>
        <w:gridCol w:w="708"/>
        <w:gridCol w:w="994"/>
        <w:gridCol w:w="5259"/>
        <w:gridCol w:w="1815"/>
        <w:gridCol w:w="1489"/>
      </w:tblGrid>
      <w:tr>
        <w:trPr>
          <w:trHeight w:val="2358" w:hRule="atLeast"/>
        </w:trPr>
        <w:tc>
          <w:tcPr>
            <w:tcW w:w="869" w:type="dxa"/>
            <w:tcBorders>
              <w:right w:val="single" w:sz="12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08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259" w:type="dxa"/>
          </w:tcPr>
          <w:p>
            <w:pPr>
              <w:pStyle w:val="TableParagraph"/>
              <w:ind w:right="217"/>
              <w:jc w:val="both"/>
              <w:rPr>
                <w:sz w:val="22"/>
              </w:rPr>
            </w:pPr>
            <w:r>
              <w:rPr>
                <w:sz w:val="22"/>
              </w:rPr>
              <w:t>harán efectivas una vez que se reciba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el servicio y los bienes 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conformidad.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509" w:val="left" w:leader="none"/>
              </w:tabs>
              <w:spacing w:line="276" w:lineRule="auto" w:before="0" w:after="0"/>
              <w:ind w:left="1508" w:right="55" w:hanging="360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Lugar de entrega: </w:t>
            </w:r>
            <w:r>
              <w:rPr>
                <w:sz w:val="22"/>
              </w:rPr>
              <w:t>Los trabajos </w:t>
            </w:r>
            <w:r>
              <w:rPr>
                <w:spacing w:val="-45"/>
                <w:sz w:val="22"/>
              </w:rPr>
              <w:t>se </w:t>
            </w:r>
            <w:r>
              <w:rPr>
                <w:sz w:val="22"/>
              </w:rPr>
              <w:t>realizarán en cualquier sucursal Súper Servicio.</w:t>
            </w:r>
          </w:p>
          <w:p>
            <w:pPr>
              <w:pStyle w:val="TableParagraph"/>
              <w:spacing w:line="276" w:lineRule="auto"/>
              <w:ind w:left="68" w:right="59"/>
              <w:jc w:val="both"/>
              <w:rPr>
                <w:sz w:val="22"/>
              </w:rPr>
            </w:pPr>
            <w:r>
              <w:rPr>
                <w:sz w:val="22"/>
              </w:rPr>
              <w:t>Y demás especiﬁcaciones técnicas descritas en el cartel, la oferta presentada.</w:t>
            </w:r>
          </w:p>
        </w:tc>
        <w:tc>
          <w:tcPr>
            <w:tcW w:w="181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Heading2"/>
        <w:spacing w:line="278" w:lineRule="exact" w:before="0"/>
      </w:pPr>
      <w:r>
        <w:rPr>
          <w:rFonts w:ascii="Times New Roman" w:hAnsi="Times New Roman"/>
          <w:b w:val="0"/>
          <w:sz w:val="24"/>
        </w:rPr>
        <w:t>137</w:t>
      </w:r>
      <w:r>
        <w:rPr/>
        <w:t>Monto total adjudicado (línea No. 1 del procedimiento) para el oferente Importadora Ad Nat S.A. es</w:t>
      </w:r>
    </w:p>
    <w:p>
      <w:pPr>
        <w:spacing w:before="38"/>
        <w:ind w:left="475" w:right="0" w:firstLine="0"/>
        <w:jc w:val="left"/>
        <w:rPr>
          <w:b/>
          <w:sz w:val="23"/>
        </w:rPr>
      </w:pPr>
      <w:r>
        <w:rPr>
          <w:rFonts w:ascii="Times New Roman" w:hAnsi="Times New Roman"/>
          <w:sz w:val="24"/>
        </w:rPr>
        <w:t>138</w:t>
      </w:r>
      <w:r>
        <w:rPr>
          <w:b/>
          <w:sz w:val="23"/>
        </w:rPr>
        <w:t>por ¢90.580,58. Incluye impuesto de valor agregado.</w:t>
      </w:r>
    </w:p>
    <w:p>
      <w:pPr>
        <w:spacing w:before="36"/>
        <w:ind w:left="475" w:right="0" w:firstLine="0"/>
        <w:jc w:val="left"/>
        <w:rPr>
          <w:b/>
          <w:sz w:val="23"/>
        </w:rPr>
      </w:pPr>
      <w:r>
        <w:rPr>
          <w:rFonts w:ascii="Times New Roman" w:hAnsi="Times New Roman"/>
          <w:sz w:val="24"/>
        </w:rPr>
        <w:t>139</w:t>
      </w:r>
      <w:r>
        <w:rPr>
          <w:b/>
          <w:sz w:val="23"/>
        </w:rPr>
        <w:t>Monto total adjudicado (línea No. 2 del procedimiento) para el oferente Productos Lubricantes S.A.</w:t>
      </w:r>
    </w:p>
    <w:p>
      <w:pPr>
        <w:spacing w:before="38"/>
        <w:ind w:left="475" w:right="0" w:firstLine="0"/>
        <w:jc w:val="left"/>
        <w:rPr>
          <w:b/>
          <w:sz w:val="23"/>
        </w:rPr>
      </w:pPr>
      <w:r>
        <w:rPr>
          <w:rFonts w:ascii="Times New Roman" w:hAnsi="Times New Roman"/>
          <w:sz w:val="24"/>
        </w:rPr>
        <w:t>140</w:t>
      </w:r>
      <w:r>
        <w:rPr>
          <w:b/>
          <w:sz w:val="23"/>
        </w:rPr>
        <w:t>es por ¢316.400,00. Incluye impuesto de valor agregado.</w:t>
      </w:r>
    </w:p>
    <w:p>
      <w:pPr>
        <w:spacing w:line="256" w:lineRule="auto" w:before="38"/>
        <w:ind w:left="475" w:right="147" w:firstLine="0"/>
        <w:jc w:val="left"/>
        <w:rPr>
          <w:sz w:val="20"/>
        </w:rPr>
      </w:pPr>
      <w:r>
        <w:rPr>
          <w:rFonts w:ascii="Times New Roman" w:hAnsi="Times New Roman"/>
          <w:sz w:val="24"/>
        </w:rPr>
        <w:t>141</w:t>
      </w:r>
      <w:r>
        <w:rPr>
          <w:b/>
          <w:sz w:val="23"/>
        </w:rPr>
        <w:t>Todo lo anterior, de acuerdo con los términos y condiciones del cartel. Lic. Alexander Matarrita </w:t>
      </w:r>
      <w:r>
        <w:rPr>
          <w:rFonts w:ascii="Times New Roman" w:hAnsi="Times New Roman"/>
          <w:sz w:val="24"/>
        </w:rPr>
        <w:t>142</w:t>
      </w:r>
      <w:r>
        <w:rPr>
          <w:b/>
          <w:sz w:val="23"/>
        </w:rPr>
        <w:t>Casanova, Adminsitrador Regional del II Circuito Judicial de Alajuela. mbg </w:t>
      </w:r>
      <w:r>
        <w:rPr>
          <w:rFonts w:ascii="Times New Roman" w:hAnsi="Times New Roman"/>
          <w:w w:val="95"/>
          <w:sz w:val="24"/>
        </w:rPr>
        <w:t>143</w:t>
      </w:r>
      <w:r>
        <w:rPr>
          <w:w w:val="95"/>
          <w:sz w:val="20"/>
        </w:rPr>
        <w:t>*************************************************************************************************</w:t>
      </w: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top="1140" w:bottom="280" w:left="300" w:right="580"/>
        </w:sectPr>
      </w:pPr>
    </w:p>
    <w:p>
      <w:pPr>
        <w:spacing w:line="235" w:lineRule="auto" w:before="104"/>
        <w:ind w:left="2796" w:right="0" w:firstLine="0"/>
        <w:jc w:val="left"/>
        <w:rPr>
          <w:sz w:val="32"/>
        </w:rPr>
      </w:pPr>
      <w:r>
        <w:rPr/>
        <w:pict>
          <v:shape style="position:absolute;margin-left:220.555161pt;margin-top:7.266723pt;width:94.95pt;height:94.25pt;mso-position-horizontal-relative:page;mso-position-vertical-relative:paragraph;z-index:-251962368" coordorigin="4411,145" coordsize="1899,1885" path="m4753,1632l4651,1693,4570,1755,4507,1815,4462,1871,4433,1922,4416,1965,4411,1999,4423,2024,4434,2030,4563,2030,4564,2030,4569,2026,4448,2026,4451,1991,4471,1943,4505,1887,4552,1825,4610,1760,4677,1695,4753,1632xm5223,145l5185,171,5166,229,5158,295,5157,343,5159,385,5163,431,5169,480,5177,530,5186,581,5197,633,5209,686,5223,739,5220,761,5210,797,5194,844,5173,901,5148,967,5117,1041,5083,1120,5045,1204,5004,1290,4960,1378,4915,1466,4867,1553,4819,1637,4770,1716,4721,1790,4672,1856,4624,1913,4577,1961,4531,1996,4488,2019,4448,2026,4569,2026,4605,2002,4650,1962,4699,1909,4752,1843,4810,1762,4872,1666,4939,1555,4956,1549,4939,1549,5000,1441,5053,1343,5098,1255,5136,1176,5167,1105,5193,1041,5215,984,5232,933,5246,887,5258,845,5325,845,5311,812,5283,733,5296,644,5297,634,5258,634,5236,550,5221,468,5212,391,5210,321,5210,292,5215,243,5227,192,5250,157,5297,157,5272,147,5223,145xm6261,1545l6243,1549,6229,1558,6219,1573,6215,1591,6219,1609,6229,1623,6243,1633,6261,1636,6281,1633,6291,1626,6261,1626,6247,1624,6236,1616,6228,1605,6225,1591,6228,1577,6236,1565,6247,1557,6261,1555,6291,1555,6281,1549,6261,1545xm6291,1555l6261,1555,6277,1557,6288,1565,6296,1577,6298,1591,6296,1605,6288,1616,6277,1624,6261,1626,6291,1626,6296,1623,6306,1609,6310,1591,6306,1573,6296,1558,6291,1555xm6275,1561l6244,1561,6244,1617,6254,1617,6254,1595,6278,1595,6277,1593,6271,1591,6283,1588,6254,1588,6254,1572,6281,1572,6281,1568,6275,1561xm6278,1595l6265,1595,6269,1601,6271,1607,6273,1617,6283,1617,6281,1607,6281,1599,6278,1595xm6281,1572l6267,1572,6271,1574,6271,1586,6265,1588,6283,1588,6283,1580,6281,1572xm5325,845l5258,845,5309,959,5362,1055,5417,1133,5471,1197,5523,1248,5572,1288,5616,1319,5654,1342,5578,1356,5500,1372,5421,1391,5340,1411,5259,1434,5178,1459,5097,1487,5017,1517,4939,1549,4956,1549,5009,1532,5082,1510,5159,1489,5237,1470,5318,1453,5400,1437,5482,1423,5564,1410,5645,1399,5726,1390,5870,1390,5840,1377,5909,1373,5993,1371,6270,1371,6251,1356,6183,1333,6151,1329,5755,1329,5710,1303,5666,1275,5622,1246,5581,1216,5524,1163,5472,1103,5425,1037,5382,965,5344,890,5325,845xm5870,1390l5726,1390,5810,1430,5895,1464,5978,1491,6057,1511,6128,1523,6190,1528,6230,1525,6260,1517,6280,1503,6283,1497,6230,1497,6171,1491,6099,1475,6017,1450,5930,1417,5870,1390xm6290,1483l6279,1488,6265,1492,6248,1495,6230,1497,6283,1497,6290,1483xm6270,1371l5993,1371,6080,1372,6164,1380,6234,1396,6282,1423,6298,1462,6304,1448,6310,1443,6310,1429,6294,1388,6270,1371xm5987,1315l5935,1316,5879,1320,5755,1329,6151,1329,6094,1320,5987,1315xm5316,304l5305,361,5293,434,5278,525,5258,634,5297,634,5305,558,5310,474,5313,385,5316,304xm5297,157l5250,157,5271,170,5291,191,5307,223,5316,269,5323,198,5307,161,5297,157xe" filled="true" fillcolor="#ffd8d8" stroked="false">
            <v:path arrowok="t"/>
            <v:fill type="solid"/>
            <w10:wrap type="none"/>
          </v:shape>
        </w:pict>
      </w:r>
      <w:r>
        <w:rPr>
          <w:sz w:val="32"/>
        </w:rPr>
        <w:t>JUAN ALEXANDER MATARRITA CASANOVA (FIRMA)</w:t>
      </w:r>
    </w:p>
    <w:p>
      <w:pPr>
        <w:pStyle w:val="BodyText"/>
        <w:spacing w:line="242" w:lineRule="auto" w:before="213"/>
        <w:ind w:left="634" w:right="3986"/>
      </w:pPr>
      <w:r>
        <w:rPr/>
        <w:br w:type="column"/>
      </w:r>
      <w:r>
        <w:rPr>
          <w:w w:val="105"/>
        </w:rPr>
        <w:t>Firmado digitalmente por JUAN ALEXANDER MATARRITA CASANOVA (FIRMA) Fecha: 2020.03.17</w:t>
      </w:r>
    </w:p>
    <w:p>
      <w:pPr>
        <w:pStyle w:val="BodyText"/>
        <w:spacing w:before="5"/>
        <w:ind w:left="634"/>
      </w:pPr>
      <w:r>
        <w:rPr/>
        <w:t>06:39:26 -06'00'</w:t>
      </w:r>
    </w:p>
    <w:sectPr>
      <w:type w:val="continuous"/>
      <w:pgSz w:w="12240" w:h="15840"/>
      <w:pgMar w:top="1040" w:bottom="280" w:left="300" w:right="580"/>
      <w:cols w:num="2" w:equalWidth="0">
        <w:col w:w="4424" w:space="40"/>
        <w:col w:w="689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▪"/>
      <w:lvlJc w:val="left"/>
      <w:pPr>
        <w:ind w:left="1508" w:hanging="360"/>
      </w:pPr>
      <w:rPr>
        <w:rFonts w:hint="default" w:ascii="Symbol" w:hAnsi="Symbol" w:eastAsia="Symbol" w:cs="Symbol"/>
        <w:w w:val="124"/>
        <w:sz w:val="17"/>
        <w:szCs w:val="17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874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48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623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997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372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746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120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495" w:hanging="360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0"/>
      <w:numFmt w:val="bullet"/>
      <w:lvlText w:val="▪"/>
      <w:lvlJc w:val="left"/>
      <w:pPr>
        <w:ind w:left="1508" w:hanging="360"/>
      </w:pPr>
      <w:rPr>
        <w:rFonts w:hint="default" w:ascii="Symbol" w:hAnsi="Symbol" w:eastAsia="Symbol" w:cs="Symbol"/>
        <w:w w:val="124"/>
        <w:sz w:val="17"/>
        <w:szCs w:val="17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874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48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623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997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372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746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120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495" w:hanging="360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0"/>
      <w:numFmt w:val="bullet"/>
      <w:lvlText w:val="▪"/>
      <w:lvlJc w:val="left"/>
      <w:pPr>
        <w:ind w:left="1508" w:hanging="360"/>
      </w:pPr>
      <w:rPr>
        <w:rFonts w:hint="default" w:ascii="Symbol" w:hAnsi="Symbol" w:eastAsia="Symbol" w:cs="Symbol"/>
        <w:w w:val="124"/>
        <w:sz w:val="17"/>
        <w:szCs w:val="17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874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48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623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997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372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746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120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495" w:hanging="36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4591" w:hanging="387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276" w:hanging="3876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5952" w:hanging="387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628" w:hanging="387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304" w:hanging="387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980" w:hanging="387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656" w:hanging="387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9332" w:hanging="387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008" w:hanging="3876"/>
      </w:pPr>
      <w:rPr>
        <w:rFonts w:hint="default"/>
        <w:lang w:val="es-ES" w:eastAsia="es-ES" w:bidi="es-ES"/>
      </w:rPr>
    </w:lvl>
  </w:abstract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3"/>
      <w:szCs w:val="23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48"/>
      <w:ind w:left="595"/>
      <w:outlineLvl w:val="1"/>
    </w:pPr>
    <w:rPr>
      <w:rFonts w:ascii="Times New Roman" w:hAnsi="Times New Roman" w:eastAsia="Times New Roman" w:cs="Times New Roman"/>
      <w:sz w:val="24"/>
      <w:szCs w:val="24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36"/>
      <w:ind w:left="475"/>
      <w:outlineLvl w:val="2"/>
    </w:pPr>
    <w:rPr>
      <w:rFonts w:ascii="Calibri" w:hAnsi="Calibri" w:eastAsia="Calibri" w:cs="Calibri"/>
      <w:b/>
      <w:bCs/>
      <w:sz w:val="23"/>
      <w:szCs w:val="23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spacing w:before="34"/>
      <w:ind w:left="3854" w:hanging="3877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>
      <w:ind w:left="1508"/>
    </w:pPr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mberrocalg</dc:creator>
  <dc:title>Resolución 000001-UARSCCM-2020</dc:title>
  <dcterms:created xsi:type="dcterms:W3CDTF">2020-05-07T19:35:01Z</dcterms:created>
  <dcterms:modified xsi:type="dcterms:W3CDTF">2020-05-07T19:35:01Z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2020-03-16T00:00:00Z</vt:filetime>
  </property>
  <property fmtid="{D5CDD505-2E9C-101B-9397-08002B2CF9AE}" pid="3" name="Creator">
    <vt:lpwstr>PDFCreator 3.1.2.10844</vt:lpwstr>
  </property>
  <property fmtid="{D5CDD505-2E9C-101B-9397-08002B2CF9AE}" pid="4" name="LastSaved">
    <vt:filetime>2020-05-07T00:00:00Z</vt:filetime>
  </property>
</Properties>
</file>