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735" w:right="0" w:firstLine="0"/>
        <w:jc w:val="left"/>
        <w:rPr>
          <w:b/>
          <w:sz w:val="20"/>
        </w:rPr>
      </w:pPr>
      <w:r>
        <w:rPr>
          <w:rFonts w:ascii="Times New Roman"/>
          <w:sz w:val="24"/>
        </w:rPr>
        <w:t>1</w:t>
      </w:r>
      <w:r>
        <w:rPr>
          <w:b/>
          <w:sz w:val="20"/>
        </w:rPr>
        <w:t>*************************************************************************************************</w:t>
      </w:r>
    </w:p>
    <w:p>
      <w:pPr>
        <w:pStyle w:val="Heading2"/>
        <w:tabs>
          <w:tab w:pos="3874" w:val="left" w:leader="none"/>
        </w:tabs>
        <w:spacing w:before="34"/>
        <w:ind w:left="735"/>
      </w:pPr>
      <w:r>
        <w:rPr>
          <w:rFonts w:ascii="Times New Roman" w:hAnsi="Times New Roman"/>
          <w:b w:val="0"/>
          <w:sz w:val="24"/>
        </w:rPr>
        <w:t>2</w:t>
        <w:tab/>
      </w:r>
      <w:r>
        <w:rPr/>
        <w:t>Resolución N°</w:t>
      </w:r>
      <w:r>
        <w:rPr>
          <w:spacing w:val="-1"/>
        </w:rPr>
        <w:t> </w:t>
      </w:r>
      <w:r>
        <w:rPr/>
        <w:t>000005-UARSCCM-2020</w:t>
      </w:r>
    </w:p>
    <w:p>
      <w:pPr>
        <w:pStyle w:val="BodyText"/>
        <w:ind w:left="735"/>
        <w:jc w:val="both"/>
      </w:pPr>
      <w:r>
        <w:rPr>
          <w:rFonts w:ascii="Times New Roman"/>
          <w:sz w:val="24"/>
        </w:rPr>
        <w:t>3</w:t>
      </w:r>
      <w:r>
        <w:rPr/>
        <w:t>Ciudad Quesada, a las trece y treinta horas del quince de mayo de 2020.</w:t>
      </w:r>
    </w:p>
    <w:p>
      <w:pPr>
        <w:spacing w:line="271" w:lineRule="auto" w:before="38"/>
        <w:ind w:left="615" w:right="974" w:firstLine="120"/>
        <w:jc w:val="both"/>
        <w:rPr>
          <w:sz w:val="23"/>
        </w:rPr>
      </w:pPr>
      <w:r>
        <w:rPr>
          <w:rFonts w:ascii="Times New Roman" w:hAnsi="Times New Roman"/>
          <w:sz w:val="24"/>
        </w:rPr>
        <w:t>4</w:t>
      </w:r>
      <w:r>
        <w:rPr>
          <w:sz w:val="23"/>
        </w:rPr>
        <w:t>De conformidad con lo establecido en el articulo No. 2, inciso h) y 27 de la Ley de Contratación </w:t>
      </w:r>
      <w:r>
        <w:rPr>
          <w:rFonts w:ascii="Times New Roman" w:hAnsi="Times New Roman"/>
          <w:sz w:val="24"/>
        </w:rPr>
        <w:t>5</w:t>
      </w:r>
      <w:r>
        <w:rPr>
          <w:sz w:val="23"/>
        </w:rPr>
        <w:t>Administrativa así como el articulo Nº 86 y 144, del Reglamento a la Ley de Contratación </w:t>
      </w:r>
      <w:r>
        <w:rPr>
          <w:rFonts w:ascii="Times New Roman" w:hAnsi="Times New Roman"/>
          <w:sz w:val="24"/>
        </w:rPr>
        <w:t>6</w:t>
      </w:r>
      <w:r>
        <w:rPr>
          <w:sz w:val="23"/>
        </w:rPr>
        <w:t>Administrativa, y la autorización para adjudicar las contrataciones directas, otorgada por el Consejo </w:t>
      </w:r>
      <w:r>
        <w:rPr>
          <w:rFonts w:ascii="Times New Roman" w:hAnsi="Times New Roman"/>
          <w:sz w:val="24"/>
        </w:rPr>
        <w:t>7</w:t>
      </w:r>
      <w:r>
        <w:rPr>
          <w:sz w:val="23"/>
        </w:rPr>
        <w:t>Superior al Departamento de Proveeduría, en la sesión Nº 23-05, con vista en los antecedentes que </w:t>
      </w:r>
      <w:r>
        <w:rPr>
          <w:rFonts w:ascii="Times New Roman" w:hAnsi="Times New Roman"/>
          <w:sz w:val="24"/>
        </w:rPr>
        <w:t>8</w:t>
      </w:r>
      <w:r>
        <w:rPr>
          <w:sz w:val="23"/>
        </w:rPr>
        <w:t>constan en el expediente de la </w:t>
      </w:r>
      <w:r>
        <w:rPr>
          <w:b/>
          <w:sz w:val="23"/>
        </w:rPr>
        <w:t>Contratación Directa Nº 2020CD-000003-UARSCCM (Requisición N° </w:t>
      </w:r>
      <w:r>
        <w:rPr>
          <w:rFonts w:ascii="Times New Roman" w:hAnsi="Times New Roman"/>
          <w:sz w:val="24"/>
        </w:rPr>
        <w:t>9</w:t>
      </w:r>
      <w:r>
        <w:rPr>
          <w:b/>
          <w:sz w:val="23"/>
        </w:rPr>
        <w:t>001675-SR-2020), denominada: “Compra de un aire acondicionado para la oﬁcina de Análisis </w:t>
      </w:r>
      <w:r>
        <w:rPr>
          <w:rFonts w:ascii="Times New Roman" w:hAnsi="Times New Roman"/>
          <w:sz w:val="24"/>
        </w:rPr>
        <w:t>10</w:t>
      </w:r>
      <w:r>
        <w:rPr>
          <w:b/>
          <w:sz w:val="23"/>
        </w:rPr>
        <w:t>Criminal, Lofoscopia y Administración del O.I.J., San Carlos”</w:t>
      </w:r>
      <w:r>
        <w:rPr>
          <w:sz w:val="23"/>
        </w:rPr>
        <w:t>, según criterio técnico vertido por la </w:t>
      </w:r>
      <w:r>
        <w:rPr>
          <w:rFonts w:ascii="Times New Roman" w:hAnsi="Times New Roman"/>
          <w:sz w:val="24"/>
        </w:rPr>
        <w:t>11</w:t>
      </w:r>
      <w:r>
        <w:rPr>
          <w:sz w:val="23"/>
        </w:rPr>
        <w:t>Profesional 1 a.i. Sonia Gamboa Rojas de la Delegación Regional de San Carlos y por el Lic. Vladimir </w:t>
      </w:r>
      <w:r>
        <w:rPr>
          <w:rFonts w:ascii="Times New Roman" w:hAnsi="Times New Roman"/>
          <w:sz w:val="24"/>
        </w:rPr>
        <w:t>12</w:t>
      </w:r>
      <w:r>
        <w:rPr>
          <w:sz w:val="23"/>
        </w:rPr>
        <w:t>Muñoz Hernández, Jefe de la Delegación Regional de San Carlos y remitido mediante correo </w:t>
      </w:r>
      <w:r>
        <w:rPr>
          <w:rFonts w:ascii="Times New Roman" w:hAnsi="Times New Roman"/>
          <w:sz w:val="24"/>
        </w:rPr>
        <w:t>13</w:t>
      </w:r>
      <w:r>
        <w:rPr>
          <w:sz w:val="23"/>
        </w:rPr>
        <w:t>electrónico del 13 de mayo de 2020, se</w:t>
      </w:r>
      <w:r>
        <w:rPr>
          <w:spacing w:val="-3"/>
          <w:sz w:val="23"/>
        </w:rPr>
        <w:t> </w:t>
      </w:r>
      <w:r>
        <w:rPr>
          <w:sz w:val="23"/>
        </w:rPr>
        <w:t>concluye:</w:t>
      </w:r>
    </w:p>
    <w:p>
      <w:pPr>
        <w:pStyle w:val="Heading2"/>
        <w:spacing w:before="7"/>
        <w:jc w:val="both"/>
      </w:pPr>
      <w:r>
        <w:rPr>
          <w:rFonts w:ascii="Times New Roman" w:hAnsi="Times New Roman"/>
          <w:b w:val="0"/>
          <w:sz w:val="24"/>
        </w:rPr>
        <w:t>14</w:t>
      </w:r>
      <w:r>
        <w:rPr/>
        <w:t>Análisis y Valoración:</w:t>
      </w:r>
    </w:p>
    <w:p>
      <w:pPr>
        <w:pStyle w:val="BodyText"/>
        <w:spacing w:line="271" w:lineRule="auto"/>
        <w:ind w:right="975"/>
        <w:jc w:val="both"/>
      </w:pPr>
      <w:r>
        <w:rPr>
          <w:rFonts w:ascii="Times New Roman" w:hAnsi="Times New Roman"/>
          <w:sz w:val="24"/>
        </w:rPr>
        <w:t>15</w:t>
      </w:r>
      <w:r>
        <w:rPr/>
        <w:t>En la presente contratación se tiene como primer resultado de la promoción de este procedimiento, la </w:t>
      </w:r>
      <w:r>
        <w:rPr>
          <w:rFonts w:ascii="Times New Roman" w:hAnsi="Times New Roman"/>
          <w:sz w:val="24"/>
        </w:rPr>
        <w:t>16</w:t>
      </w:r>
      <w:r>
        <w:rPr/>
        <w:t>participación de 3 oferentes: Oferta N° 1 Grupo Comercial Tectronic S.A., cédula jurídica 3-101-397585; </w:t>
      </w:r>
      <w:r>
        <w:rPr>
          <w:rFonts w:ascii="Times New Roman" w:hAnsi="Times New Roman"/>
          <w:sz w:val="24"/>
        </w:rPr>
        <w:t>17</w:t>
      </w:r>
      <w:r>
        <w:rPr/>
        <w:t>Oferta N° 2 Grupo Becar S.A, cédula jurídica 3-101-176973; Oferta N° 3 L.G. Servicios Especializados </w:t>
      </w:r>
      <w:r>
        <w:rPr>
          <w:rFonts w:ascii="Times New Roman" w:hAnsi="Times New Roman"/>
          <w:sz w:val="24"/>
        </w:rPr>
        <w:t>18</w:t>
      </w:r>
      <w:r>
        <w:rPr/>
        <w:t>S.A., cédula jurídica 3-101-439852.</w:t>
      </w:r>
    </w:p>
    <w:p>
      <w:pPr>
        <w:spacing w:line="271" w:lineRule="auto" w:before="2"/>
        <w:ind w:left="615" w:right="974" w:firstLine="0"/>
        <w:jc w:val="both"/>
        <w:rPr>
          <w:i/>
          <w:sz w:val="23"/>
        </w:rPr>
      </w:pPr>
      <w:r>
        <w:rPr>
          <w:rFonts w:ascii="Times New Roman" w:hAnsi="Times New Roman"/>
          <w:sz w:val="24"/>
        </w:rPr>
        <w:t>19</w:t>
      </w:r>
      <w:r>
        <w:rPr>
          <w:sz w:val="23"/>
        </w:rPr>
        <w:t>Es dable indicar que de conformidad con lo establecido en el articulo 74 bis de la Ley Orgánica de la </w:t>
      </w:r>
      <w:r>
        <w:rPr>
          <w:rFonts w:ascii="Times New Roman" w:hAnsi="Times New Roman"/>
          <w:sz w:val="24"/>
        </w:rPr>
        <w:t>20</w:t>
      </w:r>
      <w:r>
        <w:rPr>
          <w:sz w:val="23"/>
        </w:rPr>
        <w:t>C.C.S.S.; articulo 22 de la Ley 5602 y articulo 65 del Reglamento a la Ley de Contratación Administrativa, </w:t>
      </w:r>
      <w:r>
        <w:rPr>
          <w:rFonts w:ascii="Times New Roman" w:hAnsi="Times New Roman"/>
          <w:sz w:val="24"/>
        </w:rPr>
        <w:t>21</w:t>
      </w:r>
      <w:r>
        <w:rPr>
          <w:sz w:val="23"/>
        </w:rPr>
        <w:t>en fecha 05 de mayo de 2020, esta Administración procedió a realizar consulta a los sistemas de la </w:t>
      </w:r>
      <w:r>
        <w:rPr>
          <w:rFonts w:ascii="Times New Roman" w:hAnsi="Times New Roman"/>
          <w:sz w:val="24"/>
        </w:rPr>
        <w:t>22</w:t>
      </w:r>
      <w:r>
        <w:rPr>
          <w:sz w:val="23"/>
        </w:rPr>
        <w:t>C.C.S.S, Fodesaf y Ministerio de Hacienda con la ﬁnalidad de corroborar que cada uno de los </w:t>
      </w:r>
      <w:r>
        <w:rPr>
          <w:rFonts w:ascii="Times New Roman" w:hAnsi="Times New Roman"/>
          <w:sz w:val="24"/>
        </w:rPr>
        <w:t>23</w:t>
      </w:r>
      <w:r>
        <w:rPr>
          <w:sz w:val="23"/>
        </w:rPr>
        <w:t>proveedores participantes se encuentra al día con el pago de la seguridad social e Impuestos. De </w:t>
      </w:r>
      <w:r>
        <w:rPr>
          <w:rFonts w:ascii="Times New Roman" w:hAnsi="Times New Roman"/>
          <w:sz w:val="24"/>
        </w:rPr>
        <w:t>24</w:t>
      </w:r>
      <w:r>
        <w:rPr>
          <w:sz w:val="23"/>
        </w:rPr>
        <w:t>acuerdo con el resultado de las consultas, visibles en el expediente electrónico, los oferentes Grupo </w:t>
      </w:r>
      <w:r>
        <w:rPr>
          <w:rFonts w:ascii="Times New Roman" w:hAnsi="Times New Roman"/>
          <w:sz w:val="24"/>
        </w:rPr>
        <w:t>25</w:t>
      </w:r>
      <w:r>
        <w:rPr>
          <w:sz w:val="23"/>
        </w:rPr>
        <w:t>Becar S.A., L.G. Servicios Especializados S.A., a la fecha indicada se encontraban al día con las </w:t>
      </w:r>
      <w:r>
        <w:rPr>
          <w:rFonts w:ascii="Times New Roman" w:hAnsi="Times New Roman"/>
          <w:sz w:val="24"/>
        </w:rPr>
        <w:t>26</w:t>
      </w:r>
      <w:r>
        <w:rPr>
          <w:sz w:val="23"/>
        </w:rPr>
        <w:t>Instituciones mencionadas, cumpliendo con lo establecido en la normativa referida, en el caso de </w:t>
      </w:r>
      <w:r>
        <w:rPr>
          <w:rFonts w:ascii="Times New Roman" w:hAnsi="Times New Roman"/>
          <w:sz w:val="24"/>
        </w:rPr>
        <w:t>27</w:t>
      </w:r>
      <w:r>
        <w:rPr>
          <w:sz w:val="23"/>
        </w:rPr>
        <w:t>Grupo Comercial Tectronic S.A., se encontraba al día con C.C.S.S. y Fodesaf, no así con el Ministerio de </w:t>
      </w:r>
      <w:r>
        <w:rPr>
          <w:rFonts w:ascii="Times New Roman" w:hAnsi="Times New Roman"/>
          <w:sz w:val="24"/>
        </w:rPr>
        <w:t>28</w:t>
      </w:r>
      <w:r>
        <w:rPr>
          <w:sz w:val="23"/>
        </w:rPr>
        <w:t>Hacienda de acuerdo a la consulta realizada en el sistema, por lo cual se cursó prevención al proveedor </w:t>
      </w:r>
      <w:r>
        <w:rPr>
          <w:rFonts w:ascii="Times New Roman" w:hAnsi="Times New Roman"/>
          <w:sz w:val="24"/>
        </w:rPr>
        <w:t>29</w:t>
      </w:r>
      <w:r>
        <w:rPr>
          <w:sz w:val="23"/>
        </w:rPr>
        <w:t>el 05-05-2020, recibiendo respuesta oportunamente aclarando </w:t>
      </w:r>
      <w:r>
        <w:rPr>
          <w:i/>
          <w:sz w:val="23"/>
        </w:rPr>
        <w:t>“que la información que se encuentra </w:t>
      </w:r>
      <w:r>
        <w:rPr>
          <w:rFonts w:ascii="Times New Roman" w:hAnsi="Times New Roman"/>
          <w:sz w:val="24"/>
        </w:rPr>
        <w:t>30</w:t>
      </w:r>
      <w:r>
        <w:rPr>
          <w:i/>
          <w:sz w:val="23"/>
        </w:rPr>
        <w:t>en el del Ministerio de Hacienda corresponde a dos arreglos de pago que nuestra empresa realizó con </w:t>
      </w:r>
      <w:r>
        <w:rPr>
          <w:rFonts w:ascii="Times New Roman" w:hAnsi="Times New Roman"/>
          <w:sz w:val="24"/>
        </w:rPr>
        <w:t>31</w:t>
      </w:r>
      <w:r>
        <w:rPr>
          <w:i/>
          <w:sz w:val="23"/>
        </w:rPr>
        <w:t>dicho Ministerio, los cuales son DAE-CJ-AP-158-2017 y DAE-CJ-AP-108-2018. Aclaramos, que nuestra </w:t>
      </w:r>
      <w:r>
        <w:rPr>
          <w:rFonts w:ascii="Times New Roman" w:hAnsi="Times New Roman"/>
          <w:sz w:val="24"/>
        </w:rPr>
        <w:t>32</w:t>
      </w:r>
      <w:r>
        <w:rPr>
          <w:i/>
          <w:sz w:val="23"/>
        </w:rPr>
        <w:t>empresa, de manera responsable, suscribe estos acuerdos con el Ministerio de Hacienda para realizar </w:t>
      </w:r>
      <w:r>
        <w:rPr>
          <w:rFonts w:ascii="Times New Roman" w:hAnsi="Times New Roman"/>
          <w:sz w:val="24"/>
        </w:rPr>
        <w:t>33</w:t>
      </w:r>
      <w:r>
        <w:rPr>
          <w:i/>
          <w:sz w:val="23"/>
        </w:rPr>
        <w:t>pagos pre-establecidos y poder cumplir a cabalidad con sus obligaciones tributarias de manera </w:t>
      </w:r>
      <w:r>
        <w:rPr>
          <w:rFonts w:ascii="Times New Roman" w:hAnsi="Times New Roman"/>
          <w:sz w:val="24"/>
        </w:rPr>
        <w:t>34</w:t>
      </w:r>
      <w:r>
        <w:rPr>
          <w:i/>
          <w:sz w:val="23"/>
        </w:rPr>
        <w:t>transparente.</w:t>
      </w:r>
    </w:p>
    <w:p>
      <w:pPr>
        <w:spacing w:line="235" w:lineRule="auto" w:before="16"/>
        <w:ind w:left="615" w:right="1000" w:firstLine="0"/>
        <w:jc w:val="both"/>
        <w:rPr>
          <w:i/>
          <w:sz w:val="23"/>
        </w:rPr>
      </w:pPr>
      <w:r>
        <w:rPr>
          <w:rFonts w:ascii="Times New Roman" w:hAnsi="Times New Roman"/>
          <w:sz w:val="24"/>
        </w:rPr>
        <w:t>35</w:t>
      </w:r>
      <w:r>
        <w:rPr>
          <w:i/>
          <w:sz w:val="23"/>
        </w:rPr>
        <w:t>Cabe agregar y aclarar, que dichos arreglos de pago son completamente legales y negociados </w:t>
      </w:r>
      <w:r>
        <w:rPr>
          <w:rFonts w:ascii="Times New Roman" w:hAnsi="Times New Roman"/>
          <w:sz w:val="24"/>
        </w:rPr>
        <w:t>36</w:t>
      </w:r>
      <w:r>
        <w:rPr>
          <w:i/>
          <w:sz w:val="23"/>
        </w:rPr>
        <w:t>directamente con el Ministerio de Hacienda, al cual se le deposita en los periodos ﬁjados de manera </w:t>
      </w:r>
      <w:r>
        <w:rPr>
          <w:rFonts w:ascii="Times New Roman" w:hAnsi="Times New Roman"/>
          <w:sz w:val="24"/>
        </w:rPr>
        <w:t>37</w:t>
      </w:r>
      <w:r>
        <w:rPr>
          <w:i/>
          <w:sz w:val="23"/>
        </w:rPr>
        <w:t>puntual, por lo tanto, aﬁrmamos categóricamente, que nuestra empresa está al día con todas sus </w:t>
      </w:r>
      <w:r>
        <w:rPr>
          <w:rFonts w:ascii="Times New Roman" w:hAnsi="Times New Roman"/>
          <w:sz w:val="24"/>
        </w:rPr>
        <w:t>38</w:t>
      </w:r>
      <w:r>
        <w:rPr>
          <w:i/>
          <w:sz w:val="23"/>
        </w:rPr>
        <w:t>obligaciones tributarias, y en cumplimiento con el ordenamiento jurídico del país.</w:t>
      </w:r>
    </w:p>
    <w:p>
      <w:pPr>
        <w:spacing w:line="235" w:lineRule="auto" w:before="3"/>
        <w:ind w:left="615" w:right="996" w:firstLine="0"/>
        <w:jc w:val="both"/>
        <w:rPr>
          <w:i/>
          <w:sz w:val="23"/>
        </w:rPr>
      </w:pPr>
      <w:r>
        <w:rPr>
          <w:rFonts w:ascii="Times New Roman" w:hAnsi="Times New Roman"/>
          <w:sz w:val="24"/>
        </w:rPr>
        <w:t>39</w:t>
      </w:r>
      <w:r>
        <w:rPr>
          <w:i/>
          <w:sz w:val="23"/>
        </w:rPr>
        <w:t>Se adjuntan al presente oﬁcio, los arreglos de pago que nuestra empresa suscribió con el Ministerio de </w:t>
      </w:r>
      <w:r>
        <w:rPr>
          <w:rFonts w:ascii="Times New Roman" w:hAnsi="Times New Roman"/>
          <w:sz w:val="24"/>
        </w:rPr>
        <w:t>40</w:t>
      </w:r>
      <w:r>
        <w:rPr>
          <w:i/>
          <w:sz w:val="23"/>
        </w:rPr>
        <w:t>Hacienda, DAE-CJ-AP-158-2017 y DAE-CJ-AP-108-2018, con el objetivo de que la respetable </w:t>
      </w:r>
      <w:r>
        <w:rPr>
          <w:rFonts w:ascii="Times New Roman" w:hAnsi="Times New Roman"/>
          <w:sz w:val="24"/>
        </w:rPr>
        <w:t>41</w:t>
      </w:r>
      <w:r>
        <w:rPr>
          <w:i/>
          <w:sz w:val="23"/>
        </w:rPr>
        <w:t>Administración pueda veriﬁcar que los mismos están a cabalidad con el ordenamiento tributario y</w:t>
      </w:r>
    </w:p>
    <w:p>
      <w:pPr>
        <w:spacing w:after="0" w:line="235" w:lineRule="auto"/>
        <w:jc w:val="both"/>
        <w:rPr>
          <w:sz w:val="23"/>
        </w:rPr>
        <w:sectPr>
          <w:type w:val="continuous"/>
          <w:pgSz w:w="12240" w:h="15840"/>
          <w:pgMar w:top="1040" w:bottom="280" w:left="280" w:right="440"/>
        </w:sectPr>
      </w:pPr>
    </w:p>
    <w:p>
      <w:pPr>
        <w:spacing w:line="283" w:lineRule="exact" w:before="74"/>
        <w:ind w:left="615" w:right="0" w:firstLine="0"/>
        <w:jc w:val="left"/>
        <w:rPr>
          <w:i/>
          <w:sz w:val="23"/>
        </w:rPr>
      </w:pPr>
      <w:r>
        <w:rPr>
          <w:rFonts w:ascii="Times New Roman" w:hAnsi="Times New Roman"/>
          <w:sz w:val="24"/>
        </w:rPr>
        <w:t>42</w:t>
      </w:r>
      <w:r>
        <w:rPr>
          <w:i/>
          <w:sz w:val="23"/>
        </w:rPr>
        <w:t>jurídico que rigen a nuestro país, por lo tanto, recalcamos que estamos al día con nuestras obligaciones</w:t>
      </w:r>
    </w:p>
    <w:p>
      <w:pPr>
        <w:spacing w:line="235" w:lineRule="auto" w:before="2"/>
        <w:ind w:left="615" w:right="1035" w:firstLine="0"/>
        <w:jc w:val="left"/>
        <w:rPr>
          <w:i/>
          <w:sz w:val="23"/>
        </w:rPr>
      </w:pPr>
      <w:r>
        <w:rPr>
          <w:rFonts w:ascii="Times New Roman" w:hAnsi="Times New Roman"/>
          <w:sz w:val="24"/>
        </w:rPr>
        <w:t>43</w:t>
      </w:r>
      <w:r>
        <w:rPr>
          <w:i/>
          <w:sz w:val="23"/>
        </w:rPr>
        <w:t>tributarias en cumplimiento con lo dictado en el cartel de condiciones para dicho proceso. </w:t>
      </w:r>
      <w:r>
        <w:rPr>
          <w:rFonts w:ascii="Times New Roman" w:hAnsi="Times New Roman"/>
          <w:sz w:val="24"/>
        </w:rPr>
        <w:t>44</w:t>
      </w:r>
      <w:r>
        <w:rPr>
          <w:i/>
          <w:sz w:val="23"/>
        </w:rPr>
        <w:t>Agregamos que según reunión sostenida con el Lic. Adrián Dotti, el cual es la persona que está </w:t>
      </w:r>
      <w:r>
        <w:rPr>
          <w:rFonts w:ascii="Times New Roman" w:hAnsi="Times New Roman"/>
          <w:sz w:val="24"/>
        </w:rPr>
        <w:t>45</w:t>
      </w:r>
      <w:r>
        <w:rPr>
          <w:i/>
          <w:sz w:val="23"/>
        </w:rPr>
        <w:t>encargada de nuestro caso en el Ministerio de Hacienda, nos indica que cualquier duda al respecto, </w:t>
      </w:r>
      <w:r>
        <w:rPr>
          <w:rFonts w:ascii="Times New Roman" w:hAnsi="Times New Roman"/>
          <w:sz w:val="24"/>
        </w:rPr>
        <w:t>46</w:t>
      </w:r>
      <w:r>
        <w:rPr>
          <w:i/>
          <w:sz w:val="23"/>
        </w:rPr>
        <w:t>pueden comunicarse con él al correo electrónico </w:t>
      </w:r>
      <w:hyperlink r:id="rId5">
        <w:r>
          <w:rPr>
            <w:i/>
            <w:sz w:val="23"/>
          </w:rPr>
          <w:t>dottiam@hacienda.go.cr</w:t>
        </w:r>
      </w:hyperlink>
      <w:r>
        <w:rPr>
          <w:i/>
          <w:sz w:val="23"/>
        </w:rPr>
        <w:t> y él con gusto aclarará </w:t>
      </w:r>
      <w:r>
        <w:rPr>
          <w:rFonts w:ascii="Times New Roman" w:hAnsi="Times New Roman"/>
          <w:sz w:val="24"/>
        </w:rPr>
        <w:t>47</w:t>
      </w:r>
      <w:r>
        <w:rPr>
          <w:i/>
          <w:sz w:val="23"/>
        </w:rPr>
        <w:t>cualquier duda al respecto. Esto debido a que no se están emitiendo certiﬁcaciones</w:t>
      </w:r>
      <w:r>
        <w:rPr>
          <w:i/>
          <w:spacing w:val="-14"/>
          <w:sz w:val="23"/>
        </w:rPr>
        <w:t> </w:t>
      </w:r>
      <w:r>
        <w:rPr>
          <w:i/>
          <w:sz w:val="23"/>
        </w:rPr>
        <w:t>fisicas”.</w:t>
      </w:r>
    </w:p>
    <w:p>
      <w:pPr>
        <w:pStyle w:val="BodyText"/>
        <w:spacing w:line="235" w:lineRule="auto" w:before="3"/>
        <w:ind w:right="977"/>
        <w:jc w:val="both"/>
      </w:pPr>
      <w:r>
        <w:rPr>
          <w:rFonts w:ascii="Times New Roman" w:hAnsi="Times New Roman"/>
          <w:sz w:val="24"/>
        </w:rPr>
        <w:t>48</w:t>
      </w:r>
      <w:r>
        <w:rPr/>
        <w:t>De acuerdo a la respuesta del proveedor Grupo Comercial Tectronic S.A. a prevención realizada, se </w:t>
      </w:r>
      <w:r>
        <w:rPr>
          <w:rFonts w:ascii="Times New Roman" w:hAnsi="Times New Roman"/>
          <w:sz w:val="24"/>
        </w:rPr>
        <w:t>49</w:t>
      </w:r>
      <w:r>
        <w:rPr/>
        <w:t>procedió a realizar consulta sobre el estado de dicha empresa a Manuel Dotti Madrigal funcionario del </w:t>
      </w:r>
      <w:r>
        <w:rPr>
          <w:rFonts w:ascii="Times New Roman" w:hAnsi="Times New Roman"/>
          <w:sz w:val="24"/>
        </w:rPr>
        <w:t>50</w:t>
      </w:r>
      <w:r>
        <w:rPr/>
        <w:t>Ministerio de Hacienda el 06-05-2020 y el 07-05-2020 , el cual nos indicó que hasta que se cancele en </w:t>
      </w:r>
      <w:r>
        <w:rPr>
          <w:rFonts w:ascii="Times New Roman" w:hAnsi="Times New Roman"/>
          <w:sz w:val="24"/>
        </w:rPr>
        <w:t>51</w:t>
      </w:r>
      <w:r>
        <w:rPr/>
        <w:t>su totalidad la deuda (capital e interés), se procederá con la eliminación de la consulta pública. Por el </w:t>
      </w:r>
      <w:r>
        <w:rPr>
          <w:rFonts w:ascii="Times New Roman" w:hAnsi="Times New Roman"/>
          <w:sz w:val="24"/>
        </w:rPr>
        <w:t>52</w:t>
      </w:r>
      <w:r>
        <w:rPr/>
        <w:t>momento la sociedad mantiene un arreglo de pago al día para los tributos y sanciones comprendidos </w:t>
      </w:r>
      <w:r>
        <w:rPr>
          <w:rFonts w:ascii="Times New Roman" w:hAnsi="Times New Roman"/>
          <w:sz w:val="24"/>
        </w:rPr>
        <w:t>53</w:t>
      </w:r>
      <w:r>
        <w:rPr/>
        <w:t>en los documentos presentados. Además por la situación del COVID-19 se le   aprobó una prórroga     </w:t>
      </w:r>
      <w:r>
        <w:rPr>
          <w:rFonts w:ascii="Times New Roman" w:hAnsi="Times New Roman"/>
          <w:sz w:val="24"/>
        </w:rPr>
        <w:t>54 </w:t>
      </w:r>
      <w:r>
        <w:rPr/>
        <w:t>para los meses de Mayo y</w:t>
      </w:r>
      <w:r>
        <w:rPr>
          <w:spacing w:val="-4"/>
        </w:rPr>
        <w:t> </w:t>
      </w:r>
      <w:r>
        <w:rPr/>
        <w:t>Junio.</w:t>
      </w:r>
    </w:p>
    <w:p>
      <w:pPr>
        <w:pStyle w:val="BodyText"/>
        <w:spacing w:line="271" w:lineRule="auto" w:before="2"/>
        <w:ind w:right="973"/>
        <w:jc w:val="both"/>
      </w:pPr>
      <w:r>
        <w:rPr>
          <w:rFonts w:ascii="Times New Roman" w:hAnsi="Times New Roman"/>
          <w:sz w:val="24"/>
        </w:rPr>
        <w:t>55</w:t>
      </w:r>
      <w:r>
        <w:rPr/>
        <w:t>En este apartado se analizarán las prevenciones cursadas y el criterio técnico emitido por la Profesional </w:t>
      </w:r>
      <w:r>
        <w:rPr>
          <w:rFonts w:ascii="Times New Roman" w:hAnsi="Times New Roman"/>
          <w:sz w:val="24"/>
        </w:rPr>
        <w:t>56</w:t>
      </w:r>
      <w:r>
        <w:rPr/>
        <w:t>1 a.i. Sonia Gamboa Rojas, para cada uno de los oferentes que participaron en esta contratación, en </w:t>
      </w:r>
      <w:r>
        <w:rPr>
          <w:rFonts w:ascii="Times New Roman" w:hAnsi="Times New Roman"/>
          <w:sz w:val="24"/>
        </w:rPr>
        <w:t>57</w:t>
      </w:r>
      <w:r>
        <w:rPr/>
        <w:t>virtud de lo anterior, se desprende lo siguiente:</w:t>
      </w:r>
    </w:p>
    <w:p>
      <w:pPr>
        <w:pStyle w:val="Heading2"/>
        <w:spacing w:before="3"/>
      </w:pPr>
      <w:r>
        <w:rPr>
          <w:rFonts w:ascii="Times New Roman" w:hAnsi="Times New Roman"/>
          <w:b w:val="0"/>
          <w:sz w:val="24"/>
        </w:rPr>
        <w:t>58</w:t>
      </w:r>
      <w:r>
        <w:rPr/>
        <w:t>Oferta N° 1 Grupo Comercial Tectronic S.A.</w:t>
      </w:r>
    </w:p>
    <w:p>
      <w:pPr>
        <w:pStyle w:val="BodyText"/>
        <w:spacing w:before="35"/>
      </w:pPr>
      <w:r>
        <w:rPr>
          <w:rFonts w:ascii="Times New Roman" w:hAnsi="Times New Roman"/>
          <w:sz w:val="24"/>
        </w:rPr>
        <w:t>59</w:t>
      </w:r>
      <w:r>
        <w:rPr/>
        <w:t>La oferta cumple con los requisitos de admisibilidad y especiﬁcaciones técnicas requeridas en el pliego</w:t>
      </w:r>
    </w:p>
    <w:p>
      <w:pPr>
        <w:pStyle w:val="BodyText"/>
        <w:spacing w:before="39"/>
      </w:pPr>
      <w:r>
        <w:rPr>
          <w:rFonts w:ascii="Times New Roman" w:hAnsi="Times New Roman"/>
          <w:sz w:val="24"/>
        </w:rPr>
        <w:t>60</w:t>
      </w:r>
      <w:r>
        <w:rPr/>
        <w:t>de condiciones para éste concurso.</w:t>
      </w:r>
    </w:p>
    <w:p>
      <w:pPr>
        <w:pStyle w:val="BodyText"/>
        <w:spacing w:line="271" w:lineRule="auto" w:before="35"/>
        <w:ind w:right="1035"/>
      </w:pPr>
      <w:r>
        <w:rPr>
          <w:rFonts w:ascii="Times New Roman" w:hAnsi="Times New Roman"/>
          <w:sz w:val="24"/>
        </w:rPr>
        <w:t>61</w:t>
      </w:r>
      <w:r>
        <w:rPr/>
        <w:t>En lo que respecta a la razonabilidad del precio, el precio ofertado es razonable en comparación al </w:t>
      </w:r>
      <w:r>
        <w:rPr>
          <w:rFonts w:ascii="Times New Roman" w:hAnsi="Times New Roman"/>
          <w:sz w:val="24"/>
        </w:rPr>
        <w:t>62</w:t>
      </w:r>
      <w:r>
        <w:rPr/>
        <w:t>precio de mercado obtenido del estudio previo, ya que el margen de tolerancia positivo deﬁnido para </w:t>
      </w:r>
      <w:r>
        <w:rPr>
          <w:rFonts w:ascii="Times New Roman" w:hAnsi="Times New Roman"/>
          <w:sz w:val="24"/>
        </w:rPr>
        <w:t>63</w:t>
      </w:r>
      <w:r>
        <w:rPr/>
        <w:t>este procedimiento es de un 22.93%, el cual no lo supera, además que es más económico y razonable. </w:t>
      </w:r>
      <w:r>
        <w:rPr>
          <w:rFonts w:ascii="Times New Roman" w:hAnsi="Times New Roman"/>
          <w:sz w:val="24"/>
        </w:rPr>
        <w:t>64</w:t>
      </w:r>
      <w:r>
        <w:rPr/>
        <w:t>Por tanto, la oferta se admite a concurso y será puesta en consideración en la etapa de valoración </w:t>
      </w:r>
      <w:r>
        <w:rPr>
          <w:rFonts w:ascii="Times New Roman" w:hAnsi="Times New Roman"/>
          <w:sz w:val="24"/>
        </w:rPr>
        <w:t>65</w:t>
      </w:r>
      <w:r>
        <w:rPr/>
        <w:t>siguiente.</w:t>
      </w:r>
    </w:p>
    <w:p>
      <w:pPr>
        <w:pStyle w:val="Heading1"/>
        <w:spacing w:before="4"/>
      </w:pPr>
      <w:r>
        <w:rPr/>
        <w:drawing>
          <wp:anchor distT="0" distB="0" distL="0" distR="0" allowOverlap="1" layoutInCell="1" locked="0" behindDoc="0" simplePos="0" relativeHeight="251658240">
            <wp:simplePos x="0" y="0"/>
            <wp:positionH relativeFrom="page">
              <wp:posOffset>975360</wp:posOffset>
            </wp:positionH>
            <wp:positionV relativeFrom="paragraph">
              <wp:posOffset>26187</wp:posOffset>
            </wp:positionV>
            <wp:extent cx="6033516" cy="6367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033516" cy="636790"/>
                    </a:xfrm>
                    <a:prstGeom prst="rect">
                      <a:avLst/>
                    </a:prstGeom>
                  </pic:spPr>
                </pic:pic>
              </a:graphicData>
            </a:graphic>
          </wp:anchor>
        </w:drawing>
      </w:r>
      <w:r>
        <w:rPr/>
        <w:t>66</w:t>
      </w:r>
    </w:p>
    <w:p>
      <w:pPr>
        <w:spacing w:before="48"/>
        <w:ind w:left="615" w:right="0" w:firstLine="0"/>
        <w:jc w:val="left"/>
        <w:rPr>
          <w:rFonts w:ascii="Times New Roman"/>
          <w:sz w:val="24"/>
        </w:rPr>
      </w:pPr>
      <w:r>
        <w:rPr>
          <w:rFonts w:ascii="Times New Roman"/>
          <w:sz w:val="24"/>
        </w:rPr>
        <w:t>67</w:t>
      </w:r>
    </w:p>
    <w:p>
      <w:pPr>
        <w:spacing w:before="48"/>
        <w:ind w:left="615" w:right="0" w:firstLine="0"/>
        <w:jc w:val="left"/>
        <w:rPr>
          <w:rFonts w:ascii="Times New Roman"/>
          <w:sz w:val="24"/>
        </w:rPr>
      </w:pPr>
      <w:r>
        <w:rPr>
          <w:rFonts w:ascii="Times New Roman"/>
          <w:sz w:val="24"/>
        </w:rPr>
        <w:t>68</w:t>
      </w:r>
    </w:p>
    <w:p>
      <w:pPr>
        <w:pStyle w:val="Heading2"/>
        <w:spacing w:before="156"/>
      </w:pPr>
      <w:r>
        <w:rPr>
          <w:rFonts w:ascii="Times New Roman" w:hAnsi="Times New Roman"/>
          <w:b w:val="0"/>
          <w:sz w:val="24"/>
        </w:rPr>
        <w:t>69</w:t>
      </w:r>
      <w:r>
        <w:rPr/>
        <w:t>Oferta N° 2 Grupo Becar S.A</w:t>
      </w:r>
    </w:p>
    <w:p>
      <w:pPr>
        <w:pStyle w:val="BodyText"/>
        <w:spacing w:before="38"/>
      </w:pPr>
      <w:r>
        <w:rPr>
          <w:rFonts w:ascii="Times New Roman" w:hAnsi="Times New Roman"/>
          <w:sz w:val="24"/>
        </w:rPr>
        <w:t>70</w:t>
      </w:r>
      <w:r>
        <w:rPr/>
        <w:t>La oferta cumple con los requisitos de admisibilidad y especiﬁcaciones técnicas requeridas en el pliego</w:t>
      </w:r>
    </w:p>
    <w:p>
      <w:pPr>
        <w:pStyle w:val="BodyText"/>
        <w:spacing w:before="38"/>
      </w:pPr>
      <w:r>
        <w:rPr>
          <w:rFonts w:ascii="Times New Roman" w:hAnsi="Times New Roman"/>
          <w:sz w:val="24"/>
        </w:rPr>
        <w:t>71</w:t>
      </w:r>
      <w:r>
        <w:rPr/>
        <w:t>de condiciones para éste concurso.</w:t>
      </w:r>
    </w:p>
    <w:p>
      <w:pPr>
        <w:pStyle w:val="BodyText"/>
        <w:spacing w:line="271" w:lineRule="auto"/>
        <w:ind w:right="975"/>
        <w:jc w:val="both"/>
      </w:pPr>
      <w:r>
        <w:rPr>
          <w:rFonts w:ascii="Times New Roman" w:hAnsi="Times New Roman"/>
          <w:sz w:val="24"/>
        </w:rPr>
        <w:t>72</w:t>
      </w:r>
      <w:r>
        <w:rPr/>
        <w:t>El 12 de mayo del 2020 se le previene al proveedor para que de acuerdo a la ﬁcha técnica adjunta en la </w:t>
      </w:r>
      <w:r>
        <w:rPr>
          <w:rFonts w:ascii="Times New Roman" w:hAnsi="Times New Roman"/>
          <w:sz w:val="24"/>
        </w:rPr>
        <w:t>73</w:t>
      </w:r>
      <w:r>
        <w:rPr/>
        <w:t>oferta, aclare la marca y modelo del producto ofertado, ya que hace referencia a varios modelos; lo </w:t>
      </w:r>
      <w:r>
        <w:rPr>
          <w:rFonts w:ascii="Times New Roman" w:hAnsi="Times New Roman"/>
          <w:sz w:val="24"/>
        </w:rPr>
        <w:t>74</w:t>
      </w:r>
      <w:r>
        <w:rPr/>
        <w:t>anterior, debido a que en la oferta que está debidamente ﬁrmada no se hace referncia.</w:t>
      </w:r>
    </w:p>
    <w:p>
      <w:pPr>
        <w:pStyle w:val="BodyText"/>
        <w:spacing w:before="3"/>
      </w:pPr>
      <w:r>
        <w:rPr>
          <w:rFonts w:ascii="Times New Roman" w:hAnsi="Times New Roman"/>
          <w:sz w:val="24"/>
        </w:rPr>
        <w:t>75</w:t>
      </w:r>
      <w:r>
        <w:rPr/>
        <w:t>La empresa responde oportunamente y la respuesta fue valorada por la oﬁcina solicitante de la</w:t>
      </w:r>
    </w:p>
    <w:p>
      <w:pPr>
        <w:spacing w:before="35"/>
        <w:ind w:left="615" w:right="0" w:firstLine="0"/>
        <w:jc w:val="left"/>
        <w:rPr>
          <w:sz w:val="23"/>
        </w:rPr>
      </w:pPr>
      <w:r>
        <w:rPr>
          <w:rFonts w:ascii="Times New Roman"/>
          <w:sz w:val="24"/>
        </w:rPr>
        <w:t>76</w:t>
      </w:r>
      <w:r>
        <w:rPr>
          <w:sz w:val="23"/>
        </w:rPr>
        <w:t>compra.</w:t>
      </w:r>
    </w:p>
    <w:p>
      <w:pPr>
        <w:pStyle w:val="BodyText"/>
        <w:spacing w:line="271" w:lineRule="auto" w:before="39"/>
        <w:ind w:right="977"/>
        <w:jc w:val="both"/>
      </w:pPr>
      <w:r>
        <w:rPr>
          <w:rFonts w:ascii="Times New Roman" w:hAnsi="Times New Roman"/>
          <w:sz w:val="24"/>
        </w:rPr>
        <w:t>77</w:t>
      </w:r>
      <w:r>
        <w:rPr/>
        <w:t>En lo que respecta a la razonabilidad del precio, el precio ofertado es razonable en comparación al </w:t>
      </w:r>
      <w:r>
        <w:rPr>
          <w:rFonts w:ascii="Times New Roman" w:hAnsi="Times New Roman"/>
          <w:sz w:val="24"/>
        </w:rPr>
        <w:t>78</w:t>
      </w:r>
      <w:r>
        <w:rPr/>
        <w:t>precio de mercado obtenido del estudio previo, ya que el margen de tolerancia negativo deﬁnido para </w:t>
      </w:r>
      <w:r>
        <w:rPr>
          <w:rFonts w:ascii="Times New Roman" w:hAnsi="Times New Roman"/>
          <w:sz w:val="24"/>
        </w:rPr>
        <w:t>79</w:t>
      </w:r>
      <w:r>
        <w:rPr/>
        <w:t>este procedimiento es de un 12.68%, el cual no lo supera.</w:t>
      </w:r>
    </w:p>
    <w:p>
      <w:pPr>
        <w:pStyle w:val="Heading1"/>
        <w:spacing w:before="2"/>
      </w:pPr>
      <w:r>
        <w:rPr/>
        <w:drawing>
          <wp:anchor distT="0" distB="0" distL="0" distR="0" allowOverlap="1" layoutInCell="1" locked="0" behindDoc="0" simplePos="0" relativeHeight="251659264">
            <wp:simplePos x="0" y="0"/>
            <wp:positionH relativeFrom="page">
              <wp:posOffset>911352</wp:posOffset>
            </wp:positionH>
            <wp:positionV relativeFrom="paragraph">
              <wp:posOffset>6389</wp:posOffset>
            </wp:positionV>
            <wp:extent cx="5567171" cy="60198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567171" cy="601980"/>
                    </a:xfrm>
                    <a:prstGeom prst="rect">
                      <a:avLst/>
                    </a:prstGeom>
                  </pic:spPr>
                </pic:pic>
              </a:graphicData>
            </a:graphic>
          </wp:anchor>
        </w:drawing>
      </w:r>
      <w:r>
        <w:rPr/>
        <w:t>80</w:t>
      </w:r>
    </w:p>
    <w:p>
      <w:pPr>
        <w:spacing w:before="46"/>
        <w:ind w:left="615" w:right="0" w:firstLine="0"/>
        <w:jc w:val="left"/>
        <w:rPr>
          <w:rFonts w:ascii="Times New Roman"/>
          <w:sz w:val="24"/>
        </w:rPr>
      </w:pPr>
      <w:r>
        <w:rPr>
          <w:rFonts w:ascii="Times New Roman"/>
          <w:sz w:val="24"/>
        </w:rPr>
        <w:t>81</w:t>
      </w:r>
    </w:p>
    <w:p>
      <w:pPr>
        <w:spacing w:before="48"/>
        <w:ind w:left="615" w:right="0" w:firstLine="0"/>
        <w:jc w:val="left"/>
        <w:rPr>
          <w:rFonts w:ascii="Times New Roman"/>
          <w:sz w:val="24"/>
        </w:rPr>
      </w:pPr>
      <w:r>
        <w:rPr>
          <w:rFonts w:ascii="Times New Roman"/>
          <w:sz w:val="24"/>
        </w:rPr>
        <w:t>82</w:t>
      </w:r>
    </w:p>
    <w:p>
      <w:pPr>
        <w:pStyle w:val="BodyText"/>
        <w:spacing w:before="48"/>
      </w:pPr>
      <w:r>
        <w:rPr>
          <w:rFonts w:ascii="Times New Roman" w:hAnsi="Times New Roman"/>
          <w:sz w:val="24"/>
        </w:rPr>
        <w:t>83</w:t>
      </w:r>
      <w:r>
        <w:rPr/>
        <w:t>Por tanto, la oferta se admite a concurso y será puesta en consideración en la etapa de valoración</w:t>
      </w:r>
    </w:p>
    <w:p>
      <w:pPr>
        <w:spacing w:after="0"/>
        <w:sectPr>
          <w:pgSz w:w="12240" w:h="15840"/>
          <w:pgMar w:top="1060" w:bottom="280" w:left="280" w:right="440"/>
        </w:sectPr>
      </w:pPr>
    </w:p>
    <w:p>
      <w:pPr>
        <w:pStyle w:val="BodyText"/>
        <w:spacing w:before="74"/>
      </w:pPr>
      <w:r>
        <w:rPr>
          <w:rFonts w:ascii="Times New Roman"/>
          <w:sz w:val="24"/>
        </w:rPr>
        <w:t>84</w:t>
      </w:r>
      <w:r>
        <w:rPr/>
        <w:t>siguiente.</w:t>
      </w:r>
    </w:p>
    <w:p>
      <w:pPr>
        <w:pStyle w:val="Heading2"/>
        <w:spacing w:before="36"/>
      </w:pPr>
      <w:r>
        <w:rPr>
          <w:rFonts w:ascii="Times New Roman" w:hAnsi="Times New Roman"/>
          <w:b w:val="0"/>
          <w:sz w:val="24"/>
        </w:rPr>
        <w:t>85</w:t>
      </w:r>
      <w:r>
        <w:rPr/>
        <w:t>Oferta N° 3 L.G. Servicios Especializados S.A.</w:t>
      </w:r>
    </w:p>
    <w:p>
      <w:pPr>
        <w:pStyle w:val="BodyText"/>
        <w:spacing w:before="38"/>
      </w:pPr>
      <w:r>
        <w:rPr>
          <w:rFonts w:ascii="Times New Roman" w:hAnsi="Times New Roman"/>
          <w:sz w:val="24"/>
        </w:rPr>
        <w:t>86</w:t>
      </w:r>
      <w:r>
        <w:rPr/>
        <w:t>La oferta cumple con los requisitos de admisibilidad y especiﬁcaciones técnicas requeridas en el pliego</w:t>
      </w:r>
    </w:p>
    <w:p>
      <w:pPr>
        <w:pStyle w:val="BodyText"/>
        <w:spacing w:before="38"/>
      </w:pPr>
      <w:r>
        <w:rPr>
          <w:rFonts w:ascii="Times New Roman" w:hAnsi="Times New Roman"/>
          <w:sz w:val="24"/>
        </w:rPr>
        <w:t>87</w:t>
      </w:r>
      <w:r>
        <w:rPr/>
        <w:t>de condiciones para éste concurso.</w:t>
      </w:r>
    </w:p>
    <w:p>
      <w:pPr>
        <w:pStyle w:val="BodyText"/>
        <w:spacing w:line="271" w:lineRule="auto"/>
        <w:ind w:right="977"/>
        <w:jc w:val="both"/>
      </w:pPr>
      <w:r>
        <w:rPr>
          <w:rFonts w:ascii="Times New Roman" w:hAnsi="Times New Roman"/>
          <w:sz w:val="24"/>
        </w:rPr>
        <w:t>88</w:t>
      </w:r>
      <w:r>
        <w:rPr/>
        <w:t>En lo que respecta a la razonabilidad del precio, El precio ofertado es razonable en comparación al </w:t>
      </w:r>
      <w:r>
        <w:rPr>
          <w:rFonts w:ascii="Times New Roman" w:hAnsi="Times New Roman"/>
          <w:sz w:val="24"/>
        </w:rPr>
        <w:t>89</w:t>
      </w:r>
      <w:r>
        <w:rPr/>
        <w:t>precio de mercado obtenido del estudio previo, ya que el margen de tolerancia positivo deﬁnido para </w:t>
      </w:r>
      <w:r>
        <w:rPr>
          <w:rFonts w:ascii="Times New Roman" w:hAnsi="Times New Roman"/>
          <w:sz w:val="24"/>
        </w:rPr>
        <w:t>90</w:t>
      </w:r>
      <w:r>
        <w:rPr/>
        <w:t>este procedimiento es de un 7.27%.</w:t>
      </w:r>
    </w:p>
    <w:p>
      <w:pPr>
        <w:pStyle w:val="BodyText"/>
        <w:spacing w:before="3"/>
        <w:jc w:val="both"/>
      </w:pPr>
      <w:r>
        <w:rPr>
          <w:rFonts w:ascii="Times New Roman" w:hAnsi="Times New Roman"/>
          <w:sz w:val="24"/>
        </w:rPr>
        <w:t>91</w:t>
      </w:r>
      <w:r>
        <w:rPr/>
        <w:t>Por tanto, la oferta se admite a concurso y será puesta en consideración en la etapa de valoración</w:t>
      </w:r>
    </w:p>
    <w:p>
      <w:pPr>
        <w:spacing w:line="271" w:lineRule="auto" w:before="38"/>
        <w:ind w:left="615" w:right="9735" w:firstLine="0"/>
        <w:jc w:val="left"/>
        <w:rPr>
          <w:rFonts w:ascii="Times New Roman"/>
          <w:sz w:val="24"/>
        </w:rPr>
      </w:pPr>
      <w:r>
        <w:rPr/>
        <w:drawing>
          <wp:anchor distT="0" distB="0" distL="0" distR="0" allowOverlap="1" layoutInCell="1" locked="0" behindDoc="1" simplePos="0" relativeHeight="251455488">
            <wp:simplePos x="0" y="0"/>
            <wp:positionH relativeFrom="page">
              <wp:posOffset>862583</wp:posOffset>
            </wp:positionH>
            <wp:positionV relativeFrom="paragraph">
              <wp:posOffset>279032</wp:posOffset>
            </wp:positionV>
            <wp:extent cx="5752594" cy="59603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752594" cy="596034"/>
                    </a:xfrm>
                    <a:prstGeom prst="rect">
                      <a:avLst/>
                    </a:prstGeom>
                  </pic:spPr>
                </pic:pic>
              </a:graphicData>
            </a:graphic>
          </wp:anchor>
        </w:drawing>
      </w:r>
      <w:r>
        <w:rPr>
          <w:rFonts w:ascii="Times New Roman"/>
          <w:sz w:val="24"/>
        </w:rPr>
        <w:t>92</w:t>
      </w:r>
      <w:r>
        <w:rPr>
          <w:sz w:val="23"/>
        </w:rPr>
        <w:t>siguiente. </w:t>
      </w:r>
      <w:r>
        <w:rPr>
          <w:rFonts w:ascii="Times New Roman"/>
          <w:sz w:val="24"/>
        </w:rPr>
        <w:t>93</w:t>
      </w:r>
    </w:p>
    <w:p>
      <w:pPr>
        <w:pStyle w:val="Heading1"/>
        <w:spacing w:before="11"/>
      </w:pPr>
      <w:r>
        <w:rPr/>
        <w:t>94</w:t>
      </w:r>
    </w:p>
    <w:p>
      <w:pPr>
        <w:spacing w:before="46"/>
        <w:ind w:left="615" w:right="0" w:firstLine="0"/>
        <w:jc w:val="left"/>
        <w:rPr>
          <w:rFonts w:ascii="Times New Roman"/>
          <w:sz w:val="24"/>
        </w:rPr>
      </w:pPr>
      <w:r>
        <w:rPr>
          <w:rFonts w:ascii="Times New Roman"/>
          <w:sz w:val="24"/>
        </w:rPr>
        <w:t>95</w:t>
      </w:r>
    </w:p>
    <w:p>
      <w:pPr>
        <w:pStyle w:val="Heading2"/>
        <w:spacing w:line="281" w:lineRule="exact" w:before="81"/>
        <w:jc w:val="both"/>
      </w:pPr>
      <w:r>
        <w:rPr>
          <w:rFonts w:ascii="Times New Roman" w:hAnsi="Times New Roman"/>
          <w:b w:val="0"/>
          <w:sz w:val="24"/>
        </w:rPr>
        <w:t>96</w:t>
      </w:r>
      <w:r>
        <w:rPr/>
        <w:t>Sistema de Evaluación:</w:t>
      </w:r>
    </w:p>
    <w:p>
      <w:pPr>
        <w:pStyle w:val="BodyText"/>
        <w:spacing w:line="271" w:lineRule="auto" w:before="0"/>
        <w:ind w:left="495" w:right="973" w:firstLine="120"/>
        <w:jc w:val="both"/>
      </w:pPr>
      <w:r>
        <w:rPr>
          <w:rFonts w:ascii="Times New Roman" w:hAnsi="Times New Roman"/>
          <w:sz w:val="24"/>
        </w:rPr>
        <w:t>97</w:t>
      </w:r>
      <w:r>
        <w:rPr/>
        <w:t>En la cláusula 6. Método de Evaluación del pliego de condiciones se estableció como sistema de </w:t>
      </w:r>
      <w:r>
        <w:rPr>
          <w:rFonts w:ascii="Times New Roman" w:hAnsi="Times New Roman"/>
          <w:sz w:val="24"/>
        </w:rPr>
        <w:t>98</w:t>
      </w:r>
      <w:r>
        <w:rPr/>
        <w:t>evaluación que se otorgaría el 100% a la oferta de menor precio, siendo que para esta contratación </w:t>
      </w:r>
      <w:r>
        <w:rPr>
          <w:rFonts w:ascii="Times New Roman" w:hAnsi="Times New Roman"/>
          <w:sz w:val="24"/>
        </w:rPr>
        <w:t>99</w:t>
      </w:r>
      <w:r>
        <w:rPr/>
        <w:t>resultaron admisibles las ofertas presentadas por Grupo Comercial Tectronic S.A., Grupo Becar S.A, L.G. </w:t>
      </w:r>
      <w:r>
        <w:rPr>
          <w:rFonts w:ascii="Times New Roman" w:hAnsi="Times New Roman"/>
          <w:sz w:val="24"/>
        </w:rPr>
        <w:t>100</w:t>
      </w:r>
      <w:r>
        <w:rPr/>
        <w:t>Servicios Especializados S.A.</w:t>
      </w:r>
    </w:p>
    <w:p>
      <w:pPr>
        <w:pStyle w:val="BodyText"/>
        <w:spacing w:before="0"/>
        <w:ind w:left="495"/>
      </w:pPr>
      <w:r>
        <w:rPr>
          <w:rFonts w:ascii="Times New Roman" w:hAnsi="Times New Roman"/>
          <w:sz w:val="24"/>
        </w:rPr>
        <w:t>101</w:t>
      </w:r>
      <w:r>
        <w:rPr/>
        <w:t>En ese sentido, las ofertas fueron sometidas al sistema de evaluación, como se muestra en el siguiente</w:t>
      </w:r>
    </w:p>
    <w:p>
      <w:pPr>
        <w:spacing w:before="36"/>
        <w:ind w:left="495" w:right="0" w:firstLine="0"/>
        <w:jc w:val="left"/>
        <w:rPr>
          <w:sz w:val="23"/>
        </w:rPr>
      </w:pPr>
      <w:r>
        <w:rPr>
          <w:rFonts w:ascii="Times New Roman"/>
          <w:sz w:val="24"/>
        </w:rPr>
        <w:t>102</w:t>
      </w:r>
      <w:r>
        <w:rPr>
          <w:sz w:val="23"/>
        </w:rPr>
        <w:t>cuadro:</w:t>
      </w:r>
    </w:p>
    <w:p>
      <w:pPr>
        <w:pStyle w:val="Heading1"/>
        <w:spacing w:before="35"/>
        <w:ind w:left="495"/>
      </w:pPr>
      <w:r>
        <w:rPr/>
        <w:drawing>
          <wp:anchor distT="0" distB="0" distL="0" distR="0" allowOverlap="1" layoutInCell="1" locked="0" behindDoc="0" simplePos="0" relativeHeight="251661312">
            <wp:simplePos x="0" y="0"/>
            <wp:positionH relativeFrom="page">
              <wp:posOffset>950928</wp:posOffset>
            </wp:positionH>
            <wp:positionV relativeFrom="paragraph">
              <wp:posOffset>54228</wp:posOffset>
            </wp:positionV>
            <wp:extent cx="6131099" cy="1363183"/>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6131099" cy="1363183"/>
                    </a:xfrm>
                    <a:prstGeom prst="rect">
                      <a:avLst/>
                    </a:prstGeom>
                  </pic:spPr>
                </pic:pic>
              </a:graphicData>
            </a:graphic>
          </wp:anchor>
        </w:drawing>
      </w:r>
      <w:r>
        <w:rPr/>
        <w:t>103</w:t>
      </w:r>
    </w:p>
    <w:p>
      <w:pPr>
        <w:spacing w:before="48"/>
        <w:ind w:left="495" w:right="0" w:firstLine="0"/>
        <w:jc w:val="left"/>
        <w:rPr>
          <w:rFonts w:ascii="Times New Roman"/>
          <w:sz w:val="24"/>
        </w:rPr>
      </w:pPr>
      <w:r>
        <w:rPr>
          <w:rFonts w:ascii="Times New Roman"/>
          <w:sz w:val="24"/>
        </w:rPr>
        <w:t>104</w:t>
      </w:r>
    </w:p>
    <w:p>
      <w:pPr>
        <w:spacing w:before="46"/>
        <w:ind w:left="495" w:right="0" w:firstLine="0"/>
        <w:jc w:val="left"/>
        <w:rPr>
          <w:rFonts w:ascii="Times New Roman"/>
          <w:sz w:val="24"/>
        </w:rPr>
      </w:pPr>
      <w:r>
        <w:rPr>
          <w:rFonts w:ascii="Times New Roman"/>
          <w:sz w:val="24"/>
        </w:rPr>
        <w:t>105</w:t>
      </w:r>
    </w:p>
    <w:p>
      <w:pPr>
        <w:spacing w:before="48"/>
        <w:ind w:left="495" w:right="0" w:firstLine="0"/>
        <w:jc w:val="left"/>
        <w:rPr>
          <w:rFonts w:ascii="Times New Roman"/>
          <w:sz w:val="24"/>
        </w:rPr>
      </w:pPr>
      <w:r>
        <w:rPr>
          <w:rFonts w:ascii="Times New Roman"/>
          <w:sz w:val="24"/>
        </w:rPr>
        <w:t>106</w:t>
      </w:r>
    </w:p>
    <w:p>
      <w:pPr>
        <w:spacing w:before="46"/>
        <w:ind w:left="495" w:right="0" w:firstLine="0"/>
        <w:jc w:val="left"/>
        <w:rPr>
          <w:rFonts w:ascii="Times New Roman"/>
          <w:sz w:val="24"/>
        </w:rPr>
      </w:pPr>
      <w:r>
        <w:rPr>
          <w:rFonts w:ascii="Times New Roman"/>
          <w:sz w:val="24"/>
        </w:rPr>
        <w:t>107</w:t>
      </w:r>
    </w:p>
    <w:p>
      <w:pPr>
        <w:spacing w:before="48"/>
        <w:ind w:left="495" w:right="0" w:firstLine="0"/>
        <w:jc w:val="left"/>
        <w:rPr>
          <w:rFonts w:ascii="Times New Roman"/>
          <w:sz w:val="24"/>
        </w:rPr>
      </w:pPr>
      <w:r>
        <w:rPr>
          <w:rFonts w:ascii="Times New Roman"/>
          <w:sz w:val="24"/>
        </w:rPr>
        <w:t>108</w:t>
      </w:r>
    </w:p>
    <w:p>
      <w:pPr>
        <w:spacing w:before="48"/>
        <w:ind w:left="495" w:right="0" w:firstLine="0"/>
        <w:jc w:val="left"/>
        <w:rPr>
          <w:rFonts w:ascii="Times New Roman"/>
          <w:sz w:val="24"/>
        </w:rPr>
      </w:pPr>
      <w:r>
        <w:rPr>
          <w:rFonts w:ascii="Times New Roman"/>
          <w:sz w:val="24"/>
        </w:rPr>
        <w:t>109</w:t>
      </w:r>
    </w:p>
    <w:p>
      <w:pPr>
        <w:pStyle w:val="BodyText"/>
        <w:spacing w:line="271" w:lineRule="auto" w:before="45"/>
        <w:ind w:left="495"/>
        <w:rPr>
          <w:b/>
        </w:rPr>
      </w:pPr>
      <w:r>
        <w:rPr>
          <w:rFonts w:ascii="Times New Roman" w:hAnsi="Times New Roman"/>
          <w:sz w:val="24"/>
        </w:rPr>
        <w:t>110</w:t>
      </w:r>
      <w:r>
        <w:rPr/>
        <w:t>Como se observa del resultado de la evaluación aplicada se logra concluir que el oferente No. 1 Grupo </w:t>
      </w:r>
      <w:r>
        <w:rPr>
          <w:rFonts w:ascii="Times New Roman" w:hAnsi="Times New Roman"/>
          <w:sz w:val="24"/>
        </w:rPr>
        <w:t>111</w:t>
      </w:r>
      <w:r>
        <w:rPr/>
        <w:t>Comercial Tectronic S.A., obtuvo el 100%, resultando como oferta ganadora para éste procedimiento. </w:t>
      </w:r>
      <w:r>
        <w:rPr>
          <w:rFonts w:ascii="Times New Roman" w:hAnsi="Times New Roman"/>
          <w:sz w:val="24"/>
        </w:rPr>
        <w:t>112</w:t>
      </w:r>
      <w:r>
        <w:rPr>
          <w:b/>
        </w:rPr>
        <w:t>Contenido Presupuestario</w:t>
      </w:r>
    </w:p>
    <w:p>
      <w:pPr>
        <w:pStyle w:val="BodyText"/>
        <w:spacing w:line="271" w:lineRule="auto" w:before="3"/>
        <w:ind w:left="495" w:right="976"/>
        <w:jc w:val="both"/>
      </w:pPr>
      <w:r>
        <w:rPr>
          <w:rFonts w:ascii="Times New Roman" w:hAnsi="Times New Roman"/>
          <w:sz w:val="24"/>
        </w:rPr>
        <w:t>113</w:t>
      </w:r>
      <w:r>
        <w:rPr/>
        <w:t>Cabe señalar que conforme consta en el expediente de la mencionada contratación existe </w:t>
      </w:r>
      <w:r>
        <w:rPr>
          <w:rFonts w:ascii="Times New Roman" w:hAnsi="Times New Roman"/>
          <w:sz w:val="24"/>
        </w:rPr>
        <w:t>114</w:t>
      </w:r>
      <w:r>
        <w:rPr/>
        <w:t>disponibilidad de recursos presupuestarios suﬁcientes en la subpartida 50104 “Equipo y mobiliario de </w:t>
      </w:r>
      <w:r>
        <w:rPr>
          <w:rFonts w:ascii="Times New Roman" w:hAnsi="Times New Roman"/>
          <w:sz w:val="24"/>
        </w:rPr>
        <w:t>115</w:t>
      </w:r>
      <w:r>
        <w:rPr/>
        <w:t>oﬁcina”, mediante la solicitud de pedido N° 301-200264-20.</w:t>
      </w:r>
    </w:p>
    <w:p>
      <w:pPr>
        <w:spacing w:before="2"/>
        <w:ind w:left="495" w:right="0" w:firstLine="0"/>
        <w:jc w:val="left"/>
        <w:rPr>
          <w:b/>
          <w:sz w:val="23"/>
        </w:rPr>
      </w:pPr>
      <w:r>
        <w:rPr>
          <w:rFonts w:ascii="Times New Roman" w:hAnsi="Times New Roman"/>
          <w:sz w:val="24"/>
        </w:rPr>
        <w:t>116</w:t>
      </w:r>
      <w:r>
        <w:rPr>
          <w:b/>
          <w:sz w:val="23"/>
        </w:rPr>
        <w:t>Conclusión.</w:t>
      </w:r>
    </w:p>
    <w:p>
      <w:pPr>
        <w:pStyle w:val="BodyText"/>
        <w:spacing w:line="271" w:lineRule="auto"/>
        <w:ind w:left="495" w:right="976"/>
        <w:jc w:val="both"/>
      </w:pPr>
      <w:r>
        <w:rPr>
          <w:rFonts w:ascii="Times New Roman" w:hAnsi="Times New Roman"/>
          <w:sz w:val="24"/>
        </w:rPr>
        <w:t>117</w:t>
      </w:r>
      <w:r>
        <w:rPr/>
        <w:t>De acuerdo con el análisis antes expuesto y el estudio técnico realizado por la Profesional 1 a.i. Sonia </w:t>
      </w:r>
      <w:r>
        <w:rPr>
          <w:rFonts w:ascii="Times New Roman" w:hAnsi="Times New Roman"/>
          <w:sz w:val="24"/>
        </w:rPr>
        <w:t>118</w:t>
      </w:r>
      <w:r>
        <w:rPr/>
        <w:t>Gamboa Rojas, ésta Administración determina que el oferente N° 1 Grupo Comercial Tectronic S.A., </w:t>
      </w:r>
      <w:r>
        <w:rPr>
          <w:rFonts w:ascii="Times New Roman" w:hAnsi="Times New Roman"/>
          <w:sz w:val="24"/>
        </w:rPr>
        <w:t>119</w:t>
      </w:r>
      <w:r>
        <w:rPr/>
        <w:t>caliﬁca legal y técnicamente para ser adjudicatario en cuanto a la línea No. 1, al cumplir a cabalidad con </w:t>
      </w:r>
      <w:r>
        <w:rPr>
          <w:rFonts w:ascii="Times New Roman" w:hAnsi="Times New Roman"/>
          <w:sz w:val="24"/>
        </w:rPr>
        <w:t>120</w:t>
      </w:r>
      <w:r>
        <w:rPr/>
        <w:t>los requerimientos legales y cartelarios; por lo que se recomienda que se adjudique la presente </w:t>
      </w:r>
      <w:r>
        <w:rPr>
          <w:rFonts w:ascii="Times New Roman" w:hAnsi="Times New Roman"/>
          <w:sz w:val="24"/>
        </w:rPr>
        <w:t>121</w:t>
      </w:r>
      <w:r>
        <w:rPr/>
        <w:t>contratación de la siguiente forma:</w:t>
      </w:r>
    </w:p>
    <w:p>
      <w:pPr>
        <w:spacing w:before="4"/>
        <w:ind w:left="495" w:right="0" w:firstLine="0"/>
        <w:jc w:val="both"/>
        <w:rPr>
          <w:sz w:val="23"/>
        </w:rPr>
      </w:pPr>
      <w:r>
        <w:rPr>
          <w:rFonts w:ascii="Times New Roman" w:hAnsi="Times New Roman"/>
          <w:sz w:val="24"/>
        </w:rPr>
        <w:t>122</w:t>
      </w:r>
      <w:r>
        <w:rPr>
          <w:b/>
          <w:sz w:val="23"/>
        </w:rPr>
        <w:t>A</w:t>
      </w:r>
      <w:r>
        <w:rPr>
          <w:b/>
          <w:spacing w:val="19"/>
          <w:sz w:val="23"/>
        </w:rPr>
        <w:t> </w:t>
      </w:r>
      <w:r>
        <w:rPr>
          <w:b/>
          <w:sz w:val="23"/>
        </w:rPr>
        <w:t>favor</w:t>
      </w:r>
      <w:r>
        <w:rPr>
          <w:b/>
          <w:spacing w:val="23"/>
          <w:sz w:val="23"/>
        </w:rPr>
        <w:t> </w:t>
      </w:r>
      <w:r>
        <w:rPr>
          <w:b/>
          <w:sz w:val="23"/>
        </w:rPr>
        <w:t>de</w:t>
      </w:r>
      <w:r>
        <w:rPr>
          <w:b/>
          <w:spacing w:val="20"/>
          <w:sz w:val="23"/>
        </w:rPr>
        <w:t> </w:t>
      </w:r>
      <w:r>
        <w:rPr>
          <w:b/>
          <w:sz w:val="23"/>
        </w:rPr>
        <w:t>Grupo</w:t>
      </w:r>
      <w:r>
        <w:rPr>
          <w:b/>
          <w:spacing w:val="22"/>
          <w:sz w:val="23"/>
        </w:rPr>
        <w:t> </w:t>
      </w:r>
      <w:r>
        <w:rPr>
          <w:b/>
          <w:sz w:val="23"/>
        </w:rPr>
        <w:t>Comercial</w:t>
      </w:r>
      <w:r>
        <w:rPr>
          <w:b/>
          <w:spacing w:val="22"/>
          <w:sz w:val="23"/>
        </w:rPr>
        <w:t> </w:t>
      </w:r>
      <w:r>
        <w:rPr>
          <w:b/>
          <w:sz w:val="23"/>
        </w:rPr>
        <w:t>Tectronic</w:t>
      </w:r>
      <w:r>
        <w:rPr>
          <w:b/>
          <w:spacing w:val="19"/>
          <w:sz w:val="23"/>
        </w:rPr>
        <w:t> </w:t>
      </w:r>
      <w:r>
        <w:rPr>
          <w:b/>
          <w:sz w:val="23"/>
        </w:rPr>
        <w:t>S.A.,</w:t>
      </w:r>
      <w:r>
        <w:rPr>
          <w:b/>
          <w:spacing w:val="21"/>
          <w:sz w:val="23"/>
        </w:rPr>
        <w:t> </w:t>
      </w:r>
      <w:r>
        <w:rPr>
          <w:b/>
          <w:sz w:val="23"/>
        </w:rPr>
        <w:t>cédula</w:t>
      </w:r>
      <w:r>
        <w:rPr>
          <w:b/>
          <w:spacing w:val="20"/>
          <w:sz w:val="23"/>
        </w:rPr>
        <w:t> </w:t>
      </w:r>
      <w:r>
        <w:rPr>
          <w:b/>
          <w:sz w:val="23"/>
        </w:rPr>
        <w:t>jurídica</w:t>
      </w:r>
      <w:r>
        <w:rPr>
          <w:b/>
          <w:spacing w:val="20"/>
          <w:sz w:val="23"/>
        </w:rPr>
        <w:t> </w:t>
      </w:r>
      <w:r>
        <w:rPr>
          <w:b/>
          <w:sz w:val="23"/>
        </w:rPr>
        <w:t>No.</w:t>
      </w:r>
      <w:r>
        <w:rPr>
          <w:b/>
          <w:spacing w:val="30"/>
          <w:sz w:val="23"/>
        </w:rPr>
        <w:t> </w:t>
      </w:r>
      <w:r>
        <w:rPr>
          <w:b/>
          <w:sz w:val="23"/>
        </w:rPr>
        <w:t>3-101-397585</w:t>
      </w:r>
      <w:r>
        <w:rPr>
          <w:sz w:val="23"/>
        </w:rPr>
        <w:t>,</w:t>
      </w:r>
      <w:r>
        <w:rPr>
          <w:spacing w:val="21"/>
          <w:sz w:val="23"/>
        </w:rPr>
        <w:t> </w:t>
      </w:r>
      <w:r>
        <w:rPr>
          <w:sz w:val="23"/>
        </w:rPr>
        <w:t>la</w:t>
      </w:r>
      <w:r>
        <w:rPr>
          <w:spacing w:val="21"/>
          <w:sz w:val="23"/>
        </w:rPr>
        <w:t> </w:t>
      </w:r>
      <w:r>
        <w:rPr>
          <w:sz w:val="23"/>
        </w:rPr>
        <w:t>línea</w:t>
      </w:r>
      <w:r>
        <w:rPr>
          <w:spacing w:val="23"/>
          <w:sz w:val="23"/>
        </w:rPr>
        <w:t> </w:t>
      </w:r>
      <w:r>
        <w:rPr>
          <w:sz w:val="23"/>
        </w:rPr>
        <w:t>No.</w:t>
      </w:r>
      <w:r>
        <w:rPr>
          <w:spacing w:val="20"/>
          <w:sz w:val="23"/>
        </w:rPr>
        <w:t> </w:t>
      </w:r>
      <w:r>
        <w:rPr>
          <w:sz w:val="23"/>
        </w:rPr>
        <w:t>1</w:t>
      </w:r>
      <w:r>
        <w:rPr>
          <w:spacing w:val="21"/>
          <w:sz w:val="23"/>
        </w:rPr>
        <w:t> </w:t>
      </w:r>
      <w:r>
        <w:rPr>
          <w:sz w:val="23"/>
        </w:rPr>
        <w:t>de</w:t>
      </w:r>
      <w:r>
        <w:rPr>
          <w:spacing w:val="20"/>
          <w:sz w:val="23"/>
        </w:rPr>
        <w:t> </w:t>
      </w:r>
      <w:r>
        <w:rPr>
          <w:sz w:val="23"/>
        </w:rPr>
        <w:t>esta</w:t>
      </w:r>
    </w:p>
    <w:p>
      <w:pPr>
        <w:pStyle w:val="BodyText"/>
        <w:spacing w:before="38"/>
        <w:ind w:left="495"/>
        <w:jc w:val="both"/>
        <w:rPr>
          <w:sz w:val="22"/>
        </w:rPr>
      </w:pPr>
      <w:r>
        <w:rPr>
          <w:rFonts w:ascii="Times New Roman" w:hAnsi="Times New Roman"/>
          <w:sz w:val="24"/>
        </w:rPr>
        <w:t>123</w:t>
      </w:r>
      <w:r>
        <w:rPr/>
        <w:t>contratación,</w:t>
      </w:r>
      <w:r>
        <w:rPr>
          <w:spacing w:val="28"/>
        </w:rPr>
        <w:t> </w:t>
      </w:r>
      <w:r>
        <w:rPr/>
        <w:t>demás</w:t>
      </w:r>
      <w:r>
        <w:rPr>
          <w:spacing w:val="30"/>
        </w:rPr>
        <w:t> </w:t>
      </w:r>
      <w:r>
        <w:rPr/>
        <w:t>condiciones</w:t>
      </w:r>
      <w:r>
        <w:rPr>
          <w:spacing w:val="30"/>
        </w:rPr>
        <w:t> </w:t>
      </w:r>
      <w:r>
        <w:rPr/>
        <w:t>conforme</w:t>
      </w:r>
      <w:r>
        <w:rPr>
          <w:spacing w:val="30"/>
        </w:rPr>
        <w:t> </w:t>
      </w:r>
      <w:r>
        <w:rPr/>
        <w:t>al</w:t>
      </w:r>
      <w:r>
        <w:rPr>
          <w:spacing w:val="27"/>
        </w:rPr>
        <w:t> </w:t>
      </w:r>
      <w:r>
        <w:rPr/>
        <w:t>pliego</w:t>
      </w:r>
      <w:r>
        <w:rPr>
          <w:spacing w:val="29"/>
        </w:rPr>
        <w:t> </w:t>
      </w:r>
      <w:r>
        <w:rPr/>
        <w:t>de</w:t>
      </w:r>
      <w:r>
        <w:rPr>
          <w:spacing w:val="27"/>
        </w:rPr>
        <w:t> </w:t>
      </w:r>
      <w:r>
        <w:rPr/>
        <w:t>condiciones;</w:t>
      </w:r>
      <w:r>
        <w:rPr>
          <w:spacing w:val="28"/>
        </w:rPr>
        <w:t> </w:t>
      </w:r>
      <w:r>
        <w:rPr/>
        <w:t>con</w:t>
      </w:r>
      <w:r>
        <w:rPr>
          <w:spacing w:val="26"/>
        </w:rPr>
        <w:t> </w:t>
      </w:r>
      <w:r>
        <w:rPr/>
        <w:t>un</w:t>
      </w:r>
      <w:r>
        <w:rPr>
          <w:spacing w:val="29"/>
        </w:rPr>
        <w:t> </w:t>
      </w:r>
      <w:r>
        <w:rPr/>
        <w:t>plazo</w:t>
      </w:r>
      <w:r>
        <w:rPr>
          <w:spacing w:val="30"/>
        </w:rPr>
        <w:t> </w:t>
      </w:r>
      <w:r>
        <w:rPr/>
        <w:t>de</w:t>
      </w:r>
      <w:r>
        <w:rPr>
          <w:spacing w:val="27"/>
        </w:rPr>
        <w:t> </w:t>
      </w:r>
      <w:r>
        <w:rPr/>
        <w:t>entrega</w:t>
      </w:r>
      <w:r>
        <w:rPr>
          <w:spacing w:val="29"/>
        </w:rPr>
        <w:t> </w:t>
      </w:r>
      <w:r>
        <w:rPr/>
        <w:t>de</w:t>
      </w:r>
      <w:r>
        <w:rPr>
          <w:spacing w:val="37"/>
        </w:rPr>
        <w:t> </w:t>
      </w:r>
      <w:r>
        <w:rPr>
          <w:sz w:val="22"/>
        </w:rPr>
        <w:t>15</w:t>
      </w:r>
    </w:p>
    <w:p>
      <w:pPr>
        <w:spacing w:after="0"/>
        <w:jc w:val="both"/>
        <w:rPr>
          <w:sz w:val="22"/>
        </w:rPr>
        <w:sectPr>
          <w:pgSz w:w="12240" w:h="15840"/>
          <w:pgMar w:top="1060" w:bottom="280" w:left="280" w:right="440"/>
        </w:sectPr>
      </w:pPr>
    </w:p>
    <w:p>
      <w:pPr>
        <w:spacing w:before="74"/>
        <w:ind w:left="495" w:right="0" w:firstLine="0"/>
        <w:jc w:val="left"/>
        <w:rPr>
          <w:sz w:val="23"/>
        </w:rPr>
      </w:pPr>
      <w:r>
        <w:rPr>
          <w:rFonts w:ascii="Times New Roman" w:hAnsi="Times New Roman"/>
          <w:sz w:val="24"/>
        </w:rPr>
        <w:t>124</w:t>
      </w:r>
      <w:r>
        <w:rPr>
          <w:sz w:val="22"/>
        </w:rPr>
        <w:t>(quince) días hábiles después de comunicado el pedido. </w:t>
      </w:r>
      <w:r>
        <w:rPr>
          <w:sz w:val="23"/>
        </w:rPr>
        <w:t>En cuanto a la garantia se detalla en cada una de</w:t>
      </w:r>
    </w:p>
    <w:p>
      <w:pPr>
        <w:pStyle w:val="BodyText"/>
        <w:spacing w:after="39"/>
        <w:ind w:left="495"/>
      </w:pPr>
      <w:r>
        <w:rPr>
          <w:rFonts w:ascii="Times New Roman" w:hAnsi="Times New Roman"/>
          <w:sz w:val="24"/>
        </w:rPr>
        <w:t>125</w:t>
      </w:r>
      <w:r>
        <w:rPr/>
        <w:t>las siguientes líneas:</w:t>
      </w: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1"/>
        <w:gridCol w:w="708"/>
        <w:gridCol w:w="991"/>
        <w:gridCol w:w="5261"/>
        <w:gridCol w:w="1815"/>
        <w:gridCol w:w="1635"/>
      </w:tblGrid>
      <w:tr>
        <w:trPr>
          <w:trHeight w:val="287" w:hRule="atLeast"/>
        </w:trPr>
        <w:tc>
          <w:tcPr>
            <w:tcW w:w="871" w:type="dxa"/>
            <w:tcBorders>
              <w:right w:val="single" w:sz="12" w:space="0" w:color="000000"/>
            </w:tcBorders>
          </w:tcPr>
          <w:p>
            <w:pPr>
              <w:pStyle w:val="TableParagraph"/>
              <w:spacing w:line="260" w:lineRule="exact" w:before="7"/>
              <w:ind w:left="133" w:right="113"/>
              <w:jc w:val="center"/>
              <w:rPr>
                <w:b/>
                <w:sz w:val="23"/>
              </w:rPr>
            </w:pPr>
            <w:r>
              <w:rPr>
                <w:b/>
                <w:sz w:val="23"/>
              </w:rPr>
              <w:t>LÍNEA</w:t>
            </w:r>
          </w:p>
        </w:tc>
        <w:tc>
          <w:tcPr>
            <w:tcW w:w="708" w:type="dxa"/>
            <w:tcBorders>
              <w:left w:val="single" w:sz="12" w:space="0" w:color="000000"/>
            </w:tcBorders>
          </w:tcPr>
          <w:p>
            <w:pPr>
              <w:pStyle w:val="TableParagraph"/>
              <w:spacing w:line="260" w:lineRule="exact" w:before="7"/>
              <w:ind w:left="60" w:right="59"/>
              <w:jc w:val="center"/>
              <w:rPr>
                <w:b/>
                <w:sz w:val="23"/>
              </w:rPr>
            </w:pPr>
            <w:r>
              <w:rPr>
                <w:b/>
                <w:sz w:val="23"/>
              </w:rPr>
              <w:t>CANT</w:t>
            </w:r>
          </w:p>
        </w:tc>
        <w:tc>
          <w:tcPr>
            <w:tcW w:w="991" w:type="dxa"/>
          </w:tcPr>
          <w:p>
            <w:pPr>
              <w:pStyle w:val="TableParagraph"/>
              <w:spacing w:line="260" w:lineRule="exact" w:before="7"/>
              <w:ind w:left="0" w:right="84"/>
              <w:jc w:val="right"/>
              <w:rPr>
                <w:b/>
                <w:sz w:val="23"/>
              </w:rPr>
            </w:pPr>
            <w:r>
              <w:rPr>
                <w:b/>
                <w:sz w:val="23"/>
              </w:rPr>
              <w:t>UNIDAD</w:t>
            </w:r>
          </w:p>
        </w:tc>
        <w:tc>
          <w:tcPr>
            <w:tcW w:w="5261" w:type="dxa"/>
          </w:tcPr>
          <w:p>
            <w:pPr>
              <w:pStyle w:val="TableParagraph"/>
              <w:spacing w:line="260" w:lineRule="exact" w:before="7"/>
              <w:ind w:left="1476"/>
              <w:rPr>
                <w:b/>
                <w:sz w:val="23"/>
              </w:rPr>
            </w:pPr>
            <w:r>
              <w:rPr>
                <w:b/>
                <w:sz w:val="23"/>
              </w:rPr>
              <w:t>DESCRIPCIÓN ARTICULO</w:t>
            </w:r>
          </w:p>
        </w:tc>
        <w:tc>
          <w:tcPr>
            <w:tcW w:w="1815" w:type="dxa"/>
          </w:tcPr>
          <w:p>
            <w:pPr>
              <w:pStyle w:val="TableParagraph"/>
              <w:spacing w:line="267" w:lineRule="exact"/>
              <w:ind w:left="51" w:right="38"/>
              <w:jc w:val="center"/>
              <w:rPr>
                <w:b/>
                <w:sz w:val="23"/>
              </w:rPr>
            </w:pPr>
            <w:r>
              <w:rPr>
                <w:b/>
                <w:sz w:val="23"/>
              </w:rPr>
              <w:t>COSTO UNITARIO</w:t>
            </w:r>
          </w:p>
        </w:tc>
        <w:tc>
          <w:tcPr>
            <w:tcW w:w="1635" w:type="dxa"/>
          </w:tcPr>
          <w:p>
            <w:pPr>
              <w:pStyle w:val="TableParagraph"/>
              <w:spacing w:line="260" w:lineRule="exact" w:before="7"/>
              <w:ind w:left="152"/>
              <w:rPr>
                <w:b/>
                <w:sz w:val="23"/>
              </w:rPr>
            </w:pPr>
            <w:r>
              <w:rPr>
                <w:b/>
                <w:sz w:val="23"/>
              </w:rPr>
              <w:t>COSTO TOTAL</w:t>
            </w:r>
          </w:p>
        </w:tc>
      </w:tr>
      <w:tr>
        <w:trPr>
          <w:trHeight w:val="12155" w:hRule="atLeast"/>
        </w:trPr>
        <w:tc>
          <w:tcPr>
            <w:tcW w:w="871" w:type="dxa"/>
            <w:tcBorders>
              <w:right w:val="single" w:sz="12" w:space="0" w:color="000000"/>
            </w:tcBorders>
          </w:tcPr>
          <w:p>
            <w:pPr>
              <w:pStyle w:val="TableParagraph"/>
              <w:spacing w:before="6"/>
              <w:ind w:left="0"/>
              <w:rPr>
                <w:sz w:val="26"/>
              </w:rPr>
            </w:pPr>
          </w:p>
          <w:p>
            <w:pPr>
              <w:pStyle w:val="TableParagraph"/>
              <w:spacing w:before="1"/>
              <w:ind w:left="21"/>
              <w:jc w:val="center"/>
              <w:rPr>
                <w:sz w:val="23"/>
              </w:rPr>
            </w:pPr>
            <w:r>
              <w:rPr>
                <w:w w:val="99"/>
                <w:sz w:val="23"/>
              </w:rPr>
              <w:t>1</w:t>
            </w:r>
          </w:p>
        </w:tc>
        <w:tc>
          <w:tcPr>
            <w:tcW w:w="708" w:type="dxa"/>
            <w:tcBorders>
              <w:left w:val="single" w:sz="12" w:space="0" w:color="000000"/>
            </w:tcBorders>
          </w:tcPr>
          <w:p>
            <w:pPr>
              <w:pStyle w:val="TableParagraph"/>
              <w:spacing w:before="6"/>
              <w:ind w:left="0"/>
              <w:rPr>
                <w:sz w:val="26"/>
              </w:rPr>
            </w:pPr>
          </w:p>
          <w:p>
            <w:pPr>
              <w:pStyle w:val="TableParagraph"/>
              <w:spacing w:before="1"/>
              <w:ind w:left="6"/>
              <w:jc w:val="center"/>
              <w:rPr>
                <w:sz w:val="23"/>
              </w:rPr>
            </w:pPr>
            <w:r>
              <w:rPr>
                <w:w w:val="99"/>
                <w:sz w:val="23"/>
              </w:rPr>
              <w:t>1</w:t>
            </w:r>
          </w:p>
        </w:tc>
        <w:tc>
          <w:tcPr>
            <w:tcW w:w="991" w:type="dxa"/>
          </w:tcPr>
          <w:p>
            <w:pPr>
              <w:pStyle w:val="TableParagraph"/>
              <w:spacing w:before="6"/>
              <w:ind w:left="0"/>
              <w:rPr>
                <w:sz w:val="26"/>
              </w:rPr>
            </w:pPr>
          </w:p>
          <w:p>
            <w:pPr>
              <w:pStyle w:val="TableParagraph"/>
              <w:spacing w:before="1"/>
              <w:ind w:left="0" w:right="145"/>
              <w:jc w:val="right"/>
              <w:rPr>
                <w:sz w:val="23"/>
              </w:rPr>
            </w:pPr>
            <w:r>
              <w:rPr>
                <w:sz w:val="23"/>
              </w:rPr>
              <w:t>Unidad</w:t>
            </w:r>
          </w:p>
        </w:tc>
        <w:tc>
          <w:tcPr>
            <w:tcW w:w="5261" w:type="dxa"/>
          </w:tcPr>
          <w:p>
            <w:pPr>
              <w:pStyle w:val="TableParagraph"/>
              <w:ind w:right="53"/>
              <w:jc w:val="both"/>
              <w:rPr>
                <w:b/>
                <w:sz w:val="22"/>
              </w:rPr>
            </w:pPr>
            <w:r>
              <w:rPr>
                <w:b/>
                <w:color w:val="202020"/>
                <w:sz w:val="22"/>
              </w:rPr>
              <w:t>Compra de un aire acondicionado para la oﬁcina de Análisis Criminal, Lofoscopia y Administración del O.I.J., San Carlos</w:t>
            </w:r>
          </w:p>
          <w:p>
            <w:pPr>
              <w:pStyle w:val="TableParagraph"/>
              <w:spacing w:before="3"/>
              <w:ind w:right="52"/>
              <w:jc w:val="both"/>
              <w:rPr>
                <w:sz w:val="22"/>
              </w:rPr>
            </w:pPr>
            <w:r>
              <w:rPr>
                <w:b/>
                <w:sz w:val="22"/>
              </w:rPr>
              <w:t>Descripción del objeto: </w:t>
            </w:r>
            <w:r>
              <w:rPr>
                <w:sz w:val="22"/>
              </w:rPr>
              <w:t>Aire acondicionado de 18000 </w:t>
            </w:r>
            <w:r>
              <w:rPr>
                <w:spacing w:val="-3"/>
                <w:sz w:val="22"/>
              </w:rPr>
              <w:t>BTU </w:t>
            </w:r>
            <w:r>
              <w:rPr>
                <w:sz w:val="22"/>
              </w:rPr>
              <w:t>con instalación y mantenimiento preventivo por dos años; el cual el proveedor tendrá que realizar una visita trimestral, después de la instalación, desarrollando una rutina preventiva altamente conﬁable, el cual elaborará un cronograma de visitas al año de acuerdo con la recomendación del fabricante del equipo. Incluye la desinstalación del aire existente activo</w:t>
            </w:r>
            <w:r>
              <w:rPr>
                <w:spacing w:val="-5"/>
                <w:sz w:val="22"/>
              </w:rPr>
              <w:t> </w:t>
            </w:r>
            <w:r>
              <w:rPr>
                <w:sz w:val="22"/>
              </w:rPr>
              <w:t>N.557964.</w:t>
            </w:r>
          </w:p>
          <w:p>
            <w:pPr>
              <w:pStyle w:val="TableParagraph"/>
              <w:spacing w:line="266" w:lineRule="exact" w:before="2"/>
              <w:jc w:val="both"/>
              <w:rPr>
                <w:b/>
                <w:sz w:val="22"/>
              </w:rPr>
            </w:pPr>
            <w:r>
              <w:rPr>
                <w:b/>
                <w:sz w:val="22"/>
              </w:rPr>
              <w:t>Especiﬁcaciones técnicas y características del bien:</w:t>
            </w:r>
          </w:p>
          <w:p>
            <w:pPr>
              <w:pStyle w:val="TableParagraph"/>
              <w:numPr>
                <w:ilvl w:val="0"/>
                <w:numId w:val="1"/>
              </w:numPr>
              <w:tabs>
                <w:tab w:pos="356" w:val="left" w:leader="none"/>
              </w:tabs>
              <w:spacing w:line="240" w:lineRule="auto" w:before="0" w:after="0"/>
              <w:ind w:left="69" w:right="53" w:firstLine="0"/>
              <w:jc w:val="both"/>
              <w:rPr>
                <w:sz w:val="22"/>
              </w:rPr>
            </w:pPr>
            <w:r>
              <w:rPr>
                <w:sz w:val="22"/>
              </w:rPr>
              <w:t>Aire acondicionado marca </w:t>
            </w:r>
            <w:r>
              <w:rPr>
                <w:spacing w:val="-3"/>
                <w:sz w:val="22"/>
              </w:rPr>
              <w:t>Tropicool, </w:t>
            </w:r>
            <w:r>
              <w:rPr>
                <w:sz w:val="22"/>
              </w:rPr>
              <w:t>modelo TRMEP- 18K-E23/TRMC-18K-E23 y el tipo de cable a utilizar debe ser número</w:t>
            </w:r>
            <w:r>
              <w:rPr>
                <w:spacing w:val="-1"/>
                <w:sz w:val="22"/>
              </w:rPr>
              <w:t> </w:t>
            </w:r>
            <w:r>
              <w:rPr>
                <w:sz w:val="22"/>
              </w:rPr>
              <w:t>10.</w:t>
            </w:r>
          </w:p>
          <w:p>
            <w:pPr>
              <w:pStyle w:val="TableParagraph"/>
              <w:numPr>
                <w:ilvl w:val="0"/>
                <w:numId w:val="1"/>
              </w:numPr>
              <w:tabs>
                <w:tab w:pos="356" w:val="left" w:leader="none"/>
              </w:tabs>
              <w:spacing w:line="240" w:lineRule="auto" w:before="42" w:after="0"/>
              <w:ind w:left="69" w:right="53" w:firstLine="0"/>
              <w:jc w:val="both"/>
              <w:rPr>
                <w:sz w:val="22"/>
              </w:rPr>
            </w:pPr>
            <w:r>
              <w:rPr>
                <w:sz w:val="22"/>
              </w:rPr>
              <w:t>Componentes: condensador, evaporador (debe contar con pantalla indicadora de temperatura), ﬁltros lavables, control remoto y bomba de</w:t>
            </w:r>
            <w:r>
              <w:rPr>
                <w:spacing w:val="-3"/>
                <w:sz w:val="22"/>
              </w:rPr>
              <w:t> </w:t>
            </w:r>
            <w:r>
              <w:rPr>
                <w:sz w:val="22"/>
              </w:rPr>
              <w:t>drenaje.</w:t>
            </w:r>
          </w:p>
          <w:p>
            <w:pPr>
              <w:pStyle w:val="TableParagraph"/>
              <w:numPr>
                <w:ilvl w:val="0"/>
                <w:numId w:val="1"/>
              </w:numPr>
              <w:tabs>
                <w:tab w:pos="356" w:val="left" w:leader="none"/>
              </w:tabs>
              <w:spacing w:line="240" w:lineRule="auto" w:before="44" w:after="0"/>
              <w:ind w:left="69" w:right="54" w:firstLine="0"/>
              <w:jc w:val="both"/>
              <w:rPr>
                <w:sz w:val="22"/>
              </w:rPr>
            </w:pPr>
            <w:r>
              <w:rPr>
                <w:sz w:val="22"/>
              </w:rPr>
              <w:t>Las tuberías de cobre deben de contar con un aislamiento de cañuela completa (sin pegas a los costados) y dos capas de pintura impermeabilizante. En lugares a la intemperie deben contar con cañuela completa, una capa de manta y dos capas de pintura impermeabilizante.</w:t>
            </w:r>
          </w:p>
          <w:p>
            <w:pPr>
              <w:pStyle w:val="TableParagraph"/>
              <w:numPr>
                <w:ilvl w:val="0"/>
                <w:numId w:val="1"/>
              </w:numPr>
              <w:tabs>
                <w:tab w:pos="356" w:val="left" w:leader="none"/>
              </w:tabs>
              <w:spacing w:line="240" w:lineRule="auto" w:before="45" w:after="0"/>
              <w:ind w:left="69" w:right="54" w:firstLine="0"/>
              <w:jc w:val="both"/>
              <w:rPr>
                <w:sz w:val="22"/>
              </w:rPr>
            </w:pPr>
            <w:r>
              <w:rPr>
                <w:sz w:val="22"/>
              </w:rPr>
              <w:t>El condensador del equipo debe de instalarse sobre una base metálica sujeta al equipo por medio de tornillos, arandelas de seguridad y tuercas, así como esta base debe estar ﬁrmemente sujeta a la superﬁcie que indique la persona profesional responsable (estructura metálica, concreto, etc).</w:t>
            </w:r>
          </w:p>
          <w:p>
            <w:pPr>
              <w:pStyle w:val="TableParagraph"/>
              <w:numPr>
                <w:ilvl w:val="0"/>
                <w:numId w:val="1"/>
              </w:numPr>
              <w:tabs>
                <w:tab w:pos="356" w:val="left" w:leader="none"/>
              </w:tabs>
              <w:spacing w:line="240" w:lineRule="auto" w:before="45" w:after="0"/>
              <w:ind w:left="69" w:right="56" w:firstLine="0"/>
              <w:jc w:val="both"/>
              <w:rPr>
                <w:sz w:val="22"/>
              </w:rPr>
            </w:pPr>
            <w:r>
              <w:rPr>
                <w:sz w:val="22"/>
              </w:rPr>
              <w:t>La instalación eléctrica debe cumplir a cabalidad con el Código Eléctrico</w:t>
            </w:r>
            <w:r>
              <w:rPr>
                <w:spacing w:val="3"/>
                <w:sz w:val="22"/>
              </w:rPr>
              <w:t> </w:t>
            </w:r>
            <w:r>
              <w:rPr>
                <w:sz w:val="22"/>
              </w:rPr>
              <w:t>Nacional.</w:t>
            </w:r>
          </w:p>
          <w:p>
            <w:pPr>
              <w:pStyle w:val="TableParagraph"/>
              <w:numPr>
                <w:ilvl w:val="0"/>
                <w:numId w:val="1"/>
              </w:numPr>
              <w:tabs>
                <w:tab w:pos="356" w:val="left" w:leader="none"/>
              </w:tabs>
              <w:spacing w:line="242" w:lineRule="auto" w:before="42" w:after="0"/>
              <w:ind w:left="69" w:right="52" w:firstLine="0"/>
              <w:jc w:val="both"/>
              <w:rPr>
                <w:sz w:val="22"/>
              </w:rPr>
            </w:pPr>
            <w:r>
              <w:rPr>
                <w:sz w:val="22"/>
              </w:rPr>
              <w:t>Alimentación 220 Vac, una eﬁciencia SEER 23.0, capacidad, 18000 BTU/Hr y hasta 60000 BTU/Hr, refrigerante tipo</w:t>
            </w:r>
            <w:r>
              <w:rPr>
                <w:spacing w:val="-1"/>
                <w:sz w:val="22"/>
              </w:rPr>
              <w:t> </w:t>
            </w:r>
            <w:r>
              <w:rPr>
                <w:sz w:val="22"/>
              </w:rPr>
              <w:t>R410.19</w:t>
            </w:r>
          </w:p>
          <w:p>
            <w:pPr>
              <w:pStyle w:val="TableParagraph"/>
              <w:numPr>
                <w:ilvl w:val="0"/>
                <w:numId w:val="1"/>
              </w:numPr>
              <w:tabs>
                <w:tab w:pos="356" w:val="left" w:leader="none"/>
              </w:tabs>
              <w:spacing w:line="240" w:lineRule="auto" w:before="36" w:after="0"/>
              <w:ind w:left="69" w:right="57" w:firstLine="0"/>
              <w:jc w:val="both"/>
              <w:rPr>
                <w:sz w:val="22"/>
              </w:rPr>
            </w:pPr>
            <w:r>
              <w:rPr>
                <w:sz w:val="22"/>
              </w:rPr>
              <w:t>Diseño estéticamente aceptable. Incluir en la oferta fotografia de la unidad para su</w:t>
            </w:r>
            <w:r>
              <w:rPr>
                <w:spacing w:val="-5"/>
                <w:sz w:val="22"/>
              </w:rPr>
              <w:t> </w:t>
            </w:r>
            <w:r>
              <w:rPr>
                <w:sz w:val="22"/>
              </w:rPr>
              <w:t>valoración.</w:t>
            </w:r>
          </w:p>
          <w:p>
            <w:pPr>
              <w:pStyle w:val="TableParagraph"/>
              <w:numPr>
                <w:ilvl w:val="0"/>
                <w:numId w:val="1"/>
              </w:numPr>
              <w:tabs>
                <w:tab w:pos="356" w:val="left" w:leader="none"/>
              </w:tabs>
              <w:spacing w:line="240" w:lineRule="auto" w:before="44" w:after="0"/>
              <w:ind w:left="355" w:right="0" w:hanging="287"/>
              <w:jc w:val="both"/>
              <w:rPr>
                <w:sz w:val="22"/>
              </w:rPr>
            </w:pPr>
            <w:r>
              <w:rPr>
                <w:sz w:val="22"/>
              </w:rPr>
              <w:t>Certiﬁcación: ECA, AHRI,</w:t>
            </w:r>
            <w:r>
              <w:rPr>
                <w:spacing w:val="-1"/>
                <w:sz w:val="22"/>
              </w:rPr>
              <w:t> </w:t>
            </w:r>
            <w:r>
              <w:rPr>
                <w:sz w:val="22"/>
              </w:rPr>
              <w:t>UL.</w:t>
            </w:r>
          </w:p>
          <w:p>
            <w:pPr>
              <w:pStyle w:val="TableParagraph"/>
              <w:numPr>
                <w:ilvl w:val="0"/>
                <w:numId w:val="1"/>
              </w:numPr>
              <w:tabs>
                <w:tab w:pos="356" w:val="left" w:leader="none"/>
              </w:tabs>
              <w:spacing w:line="240" w:lineRule="auto" w:before="41" w:after="0"/>
              <w:ind w:left="69" w:right="55" w:firstLine="0"/>
              <w:jc w:val="left"/>
              <w:rPr>
                <w:sz w:val="22"/>
              </w:rPr>
            </w:pPr>
            <w:r>
              <w:rPr>
                <w:sz w:val="22"/>
              </w:rPr>
              <w:t>Los equipos mecánicos sin producción de ruidos o vibraciones.</w:t>
            </w:r>
          </w:p>
          <w:p>
            <w:pPr>
              <w:pStyle w:val="TableParagraph"/>
              <w:numPr>
                <w:ilvl w:val="0"/>
                <w:numId w:val="1"/>
              </w:numPr>
              <w:tabs>
                <w:tab w:pos="356" w:val="left" w:leader="none"/>
              </w:tabs>
              <w:spacing w:line="240" w:lineRule="auto" w:before="44" w:after="0"/>
              <w:ind w:left="355" w:right="0" w:hanging="287"/>
              <w:jc w:val="left"/>
              <w:rPr>
                <w:sz w:val="22"/>
              </w:rPr>
            </w:pPr>
            <w:r>
              <w:rPr>
                <w:sz w:val="22"/>
              </w:rPr>
              <w:t>Asegurar un stock de repuestos por 05</w:t>
            </w:r>
            <w:r>
              <w:rPr>
                <w:spacing w:val="-3"/>
                <w:sz w:val="22"/>
              </w:rPr>
              <w:t> </w:t>
            </w:r>
            <w:r>
              <w:rPr>
                <w:sz w:val="22"/>
              </w:rPr>
              <w:t>años.</w:t>
            </w:r>
          </w:p>
          <w:p>
            <w:pPr>
              <w:pStyle w:val="TableParagraph"/>
              <w:numPr>
                <w:ilvl w:val="0"/>
                <w:numId w:val="1"/>
              </w:numPr>
              <w:tabs>
                <w:tab w:pos="356" w:val="left" w:leader="none"/>
              </w:tabs>
              <w:spacing w:line="240" w:lineRule="auto" w:before="44" w:after="0"/>
              <w:ind w:left="69" w:right="57" w:firstLine="0"/>
              <w:jc w:val="left"/>
              <w:rPr>
                <w:sz w:val="22"/>
              </w:rPr>
            </w:pPr>
            <w:r>
              <w:rPr>
                <w:sz w:val="22"/>
              </w:rPr>
              <w:t>En caso de que no exista un brecke ya creado deberá crearse uno por parte de la empresa.</w:t>
            </w:r>
          </w:p>
        </w:tc>
        <w:tc>
          <w:tcPr>
            <w:tcW w:w="1815" w:type="dxa"/>
          </w:tcPr>
          <w:p>
            <w:pPr>
              <w:pStyle w:val="TableParagraph"/>
              <w:spacing w:before="6"/>
              <w:ind w:left="0"/>
              <w:rPr>
                <w:sz w:val="26"/>
              </w:rPr>
            </w:pPr>
          </w:p>
          <w:p>
            <w:pPr>
              <w:pStyle w:val="TableParagraph"/>
              <w:spacing w:before="1"/>
              <w:ind w:left="51" w:right="38"/>
              <w:jc w:val="center"/>
              <w:rPr>
                <w:sz w:val="23"/>
              </w:rPr>
            </w:pPr>
            <w:r>
              <w:rPr>
                <w:sz w:val="23"/>
              </w:rPr>
              <w:t>¢ 1,120.649,60</w:t>
            </w:r>
          </w:p>
        </w:tc>
        <w:tc>
          <w:tcPr>
            <w:tcW w:w="1635" w:type="dxa"/>
          </w:tcPr>
          <w:p>
            <w:pPr>
              <w:pStyle w:val="TableParagraph"/>
              <w:spacing w:before="6"/>
              <w:ind w:left="0"/>
              <w:rPr>
                <w:sz w:val="26"/>
              </w:rPr>
            </w:pPr>
          </w:p>
          <w:p>
            <w:pPr>
              <w:pStyle w:val="TableParagraph"/>
              <w:spacing w:before="1"/>
              <w:ind w:left="124"/>
              <w:rPr>
                <w:sz w:val="23"/>
              </w:rPr>
            </w:pPr>
            <w:r>
              <w:rPr>
                <w:sz w:val="23"/>
              </w:rPr>
              <w:t>¢ 1,120.649,60</w:t>
            </w:r>
          </w:p>
        </w:tc>
      </w:tr>
    </w:tbl>
    <w:p>
      <w:pPr>
        <w:spacing w:after="0"/>
        <w:rPr>
          <w:sz w:val="23"/>
        </w:rPr>
        <w:sectPr>
          <w:pgSz w:w="12240" w:h="15840"/>
          <w:pgMar w:top="1060" w:bottom="280" w:left="280" w:right="44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1"/>
        <w:gridCol w:w="708"/>
        <w:gridCol w:w="991"/>
        <w:gridCol w:w="5261"/>
        <w:gridCol w:w="1815"/>
        <w:gridCol w:w="1635"/>
      </w:tblGrid>
      <w:tr>
        <w:trPr>
          <w:trHeight w:val="5992" w:hRule="atLeast"/>
        </w:trPr>
        <w:tc>
          <w:tcPr>
            <w:tcW w:w="871" w:type="dxa"/>
            <w:tcBorders>
              <w:right w:val="single" w:sz="12" w:space="0" w:color="000000"/>
            </w:tcBorders>
          </w:tcPr>
          <w:p>
            <w:pPr>
              <w:pStyle w:val="TableParagraph"/>
              <w:ind w:left="0"/>
              <w:rPr>
                <w:rFonts w:ascii="Times New Roman"/>
                <w:sz w:val="20"/>
              </w:rPr>
            </w:pPr>
          </w:p>
        </w:tc>
        <w:tc>
          <w:tcPr>
            <w:tcW w:w="708" w:type="dxa"/>
            <w:tcBorders>
              <w:left w:val="single" w:sz="12" w:space="0" w:color="000000"/>
            </w:tcBorders>
          </w:tcPr>
          <w:p>
            <w:pPr>
              <w:pStyle w:val="TableParagraph"/>
              <w:ind w:left="0"/>
              <w:rPr>
                <w:rFonts w:ascii="Times New Roman"/>
                <w:sz w:val="20"/>
              </w:rPr>
            </w:pPr>
          </w:p>
        </w:tc>
        <w:tc>
          <w:tcPr>
            <w:tcW w:w="991" w:type="dxa"/>
          </w:tcPr>
          <w:p>
            <w:pPr>
              <w:pStyle w:val="TableParagraph"/>
              <w:ind w:left="0"/>
              <w:rPr>
                <w:rFonts w:ascii="Times New Roman"/>
                <w:sz w:val="20"/>
              </w:rPr>
            </w:pPr>
          </w:p>
        </w:tc>
        <w:tc>
          <w:tcPr>
            <w:tcW w:w="5261" w:type="dxa"/>
          </w:tcPr>
          <w:p>
            <w:pPr>
              <w:pStyle w:val="TableParagraph"/>
              <w:numPr>
                <w:ilvl w:val="0"/>
                <w:numId w:val="2"/>
              </w:numPr>
              <w:tabs>
                <w:tab w:pos="356" w:val="left" w:leader="none"/>
              </w:tabs>
              <w:spacing w:line="240" w:lineRule="auto" w:before="0" w:after="0"/>
              <w:ind w:left="69" w:right="58" w:firstLine="0"/>
              <w:jc w:val="both"/>
              <w:rPr>
                <w:sz w:val="22"/>
              </w:rPr>
            </w:pPr>
            <w:r>
              <w:rPr>
                <w:sz w:val="22"/>
              </w:rPr>
              <w:t>El tipo de cable a utilizar es número 10, debe ser de acuerdo a distancia del condensador a la caja de alimentación.</w:t>
            </w:r>
          </w:p>
          <w:p>
            <w:pPr>
              <w:pStyle w:val="TableParagraph"/>
              <w:numPr>
                <w:ilvl w:val="0"/>
                <w:numId w:val="2"/>
              </w:numPr>
              <w:tabs>
                <w:tab w:pos="356" w:val="left" w:leader="none"/>
              </w:tabs>
              <w:spacing w:line="240" w:lineRule="auto" w:before="35" w:after="0"/>
              <w:ind w:left="69" w:right="58" w:firstLine="0"/>
              <w:jc w:val="both"/>
              <w:rPr>
                <w:sz w:val="22"/>
              </w:rPr>
            </w:pPr>
            <w:r>
              <w:rPr>
                <w:sz w:val="22"/>
              </w:rPr>
              <w:t>El trabajo incluye desintalar el aire acondicionado que se sustituye sin costo</w:t>
            </w:r>
            <w:r>
              <w:rPr>
                <w:spacing w:val="-2"/>
                <w:sz w:val="22"/>
              </w:rPr>
              <w:t> </w:t>
            </w:r>
            <w:r>
              <w:rPr>
                <w:sz w:val="22"/>
              </w:rPr>
              <w:t>adicional.</w:t>
            </w:r>
          </w:p>
          <w:p>
            <w:pPr>
              <w:pStyle w:val="TableParagraph"/>
              <w:numPr>
                <w:ilvl w:val="0"/>
                <w:numId w:val="2"/>
              </w:numPr>
              <w:tabs>
                <w:tab w:pos="356" w:val="left" w:leader="none"/>
              </w:tabs>
              <w:spacing w:line="240" w:lineRule="auto" w:before="41" w:after="0"/>
              <w:ind w:left="69" w:right="56" w:firstLine="0"/>
              <w:jc w:val="both"/>
              <w:rPr>
                <w:sz w:val="22"/>
              </w:rPr>
            </w:pPr>
            <w:r>
              <w:rPr>
                <w:b/>
                <w:sz w:val="22"/>
              </w:rPr>
              <w:t>Plazo máximo de entrega: </w:t>
            </w:r>
            <w:r>
              <w:rPr>
                <w:sz w:val="22"/>
              </w:rPr>
              <w:t>15 (quince) días hábiles después de comunicado el</w:t>
            </w:r>
            <w:r>
              <w:rPr>
                <w:spacing w:val="-4"/>
                <w:sz w:val="22"/>
              </w:rPr>
              <w:t> </w:t>
            </w:r>
            <w:r>
              <w:rPr>
                <w:sz w:val="22"/>
              </w:rPr>
              <w:t>pedido.</w:t>
            </w:r>
          </w:p>
          <w:p>
            <w:pPr>
              <w:pStyle w:val="TableParagraph"/>
              <w:numPr>
                <w:ilvl w:val="0"/>
                <w:numId w:val="2"/>
              </w:numPr>
              <w:tabs>
                <w:tab w:pos="356" w:val="left" w:leader="none"/>
              </w:tabs>
              <w:spacing w:line="240" w:lineRule="auto" w:before="44" w:after="0"/>
              <w:ind w:left="69" w:right="60" w:firstLine="0"/>
              <w:jc w:val="both"/>
              <w:rPr>
                <w:sz w:val="22"/>
              </w:rPr>
            </w:pPr>
            <w:r>
              <w:rPr>
                <w:b/>
                <w:sz w:val="22"/>
              </w:rPr>
              <w:t>Garantia mínima: </w:t>
            </w:r>
            <w:r>
              <w:rPr>
                <w:sz w:val="22"/>
              </w:rPr>
              <w:t>2 (dos) años con visitas</w:t>
            </w:r>
            <w:r>
              <w:rPr>
                <w:spacing w:val="-21"/>
                <w:sz w:val="22"/>
              </w:rPr>
              <w:t> </w:t>
            </w:r>
            <w:r>
              <w:rPr>
                <w:sz w:val="22"/>
              </w:rPr>
              <w:t>trimestrales de</w:t>
            </w:r>
            <w:r>
              <w:rPr>
                <w:spacing w:val="1"/>
                <w:sz w:val="22"/>
              </w:rPr>
              <w:t> </w:t>
            </w:r>
            <w:r>
              <w:rPr>
                <w:sz w:val="22"/>
              </w:rPr>
              <w:t>mantenimiento.</w:t>
            </w:r>
          </w:p>
          <w:p>
            <w:pPr>
              <w:pStyle w:val="TableParagraph"/>
              <w:numPr>
                <w:ilvl w:val="0"/>
                <w:numId w:val="2"/>
              </w:numPr>
              <w:tabs>
                <w:tab w:pos="356" w:val="left" w:leader="none"/>
              </w:tabs>
              <w:spacing w:line="240" w:lineRule="auto" w:before="44" w:after="0"/>
              <w:ind w:left="69" w:right="56" w:firstLine="0"/>
              <w:jc w:val="both"/>
              <w:rPr>
                <w:sz w:val="22"/>
              </w:rPr>
            </w:pPr>
            <w:r>
              <w:rPr>
                <w:b/>
                <w:sz w:val="22"/>
              </w:rPr>
              <w:t>Lugar de entrega: </w:t>
            </w:r>
            <w:r>
              <w:rPr>
                <w:sz w:val="22"/>
              </w:rPr>
              <w:t>Delegación Regional OIJ San Carlos, en coordinación con Sonia Gamboa Rojas, </w:t>
            </w:r>
            <w:r>
              <w:rPr>
                <w:spacing w:val="-5"/>
                <w:sz w:val="22"/>
              </w:rPr>
              <w:t>Telf: </w:t>
            </w:r>
            <w:r>
              <w:rPr>
                <w:sz w:val="22"/>
              </w:rPr>
              <w:t>2401- 0329, </w:t>
            </w:r>
            <w:r>
              <w:rPr>
                <w:b/>
                <w:sz w:val="22"/>
              </w:rPr>
              <w:t>e-mail</w:t>
            </w:r>
            <w:r>
              <w:rPr>
                <w:sz w:val="22"/>
              </w:rPr>
              <w:t>:</w:t>
            </w:r>
            <w:r>
              <w:rPr>
                <w:spacing w:val="-3"/>
                <w:sz w:val="22"/>
              </w:rPr>
              <w:t> </w:t>
            </w:r>
            <w:hyperlink r:id="rId10">
              <w:r>
                <w:rPr>
                  <w:sz w:val="22"/>
                  <w:u w:val="single"/>
                </w:rPr>
                <w:t>sgamboa@poder-judicial.go.cr</w:t>
              </w:r>
            </w:hyperlink>
          </w:p>
          <w:p>
            <w:pPr>
              <w:pStyle w:val="TableParagraph"/>
              <w:spacing w:line="276" w:lineRule="auto" w:before="47"/>
              <w:ind w:right="60"/>
              <w:rPr>
                <w:sz w:val="22"/>
              </w:rPr>
            </w:pPr>
            <w:r>
              <w:rPr>
                <w:sz w:val="22"/>
              </w:rPr>
              <w:t>Y demás especiﬁcaciones técnicas descritas en el cartel, la oferta presentada.</w:t>
            </w:r>
          </w:p>
          <w:p>
            <w:pPr>
              <w:pStyle w:val="TableParagraph"/>
              <w:spacing w:before="1"/>
              <w:rPr>
                <w:sz w:val="22"/>
              </w:rPr>
            </w:pPr>
            <w:r>
              <w:rPr>
                <w:sz w:val="22"/>
              </w:rPr>
              <w:t>Además especiﬁcaciones técnicas conforme al cartel y oferta presentada.</w:t>
            </w:r>
          </w:p>
          <w:p>
            <w:pPr>
              <w:pStyle w:val="TableParagraph"/>
              <w:spacing w:before="1"/>
              <w:ind w:right="375"/>
              <w:rPr>
                <w:sz w:val="22"/>
              </w:rPr>
            </w:pPr>
            <w:r>
              <w:rPr>
                <w:sz w:val="22"/>
              </w:rPr>
              <w:t>Tipo Moneda Cotizada: USD, Factor de Cambio: 1.000 Precio Unitario Moneda Cotizada: $1,960.00. Monto Total Moneda Cotizada: $1.960.00</w:t>
            </w:r>
          </w:p>
          <w:p>
            <w:pPr>
              <w:pStyle w:val="TableParagraph"/>
              <w:spacing w:line="270" w:lineRule="atLeast"/>
              <w:ind w:right="720"/>
              <w:rPr>
                <w:sz w:val="22"/>
              </w:rPr>
            </w:pPr>
            <w:r>
              <w:rPr>
                <w:spacing w:val="-4"/>
                <w:sz w:val="22"/>
              </w:rPr>
              <w:t>Subtotal </w:t>
            </w:r>
            <w:r>
              <w:rPr>
                <w:sz w:val="22"/>
              </w:rPr>
              <w:t>a </w:t>
            </w:r>
            <w:r>
              <w:rPr>
                <w:spacing w:val="-5"/>
                <w:sz w:val="22"/>
              </w:rPr>
              <w:t>girar </w:t>
            </w:r>
            <w:r>
              <w:rPr>
                <w:sz w:val="22"/>
              </w:rPr>
              <w:t>en </w:t>
            </w:r>
            <w:r>
              <w:rPr>
                <w:spacing w:val="-4"/>
                <w:sz w:val="22"/>
              </w:rPr>
              <w:t>moneda </w:t>
            </w:r>
            <w:r>
              <w:rPr>
                <w:spacing w:val="-5"/>
                <w:sz w:val="22"/>
              </w:rPr>
              <w:t>cotizada: </w:t>
            </w:r>
            <w:r>
              <w:rPr>
                <w:spacing w:val="-4"/>
                <w:sz w:val="22"/>
              </w:rPr>
              <w:t>$1.960.00. </w:t>
            </w:r>
            <w:r>
              <w:rPr>
                <w:spacing w:val="-3"/>
                <w:sz w:val="22"/>
              </w:rPr>
              <w:t>Tipo de </w:t>
            </w:r>
            <w:r>
              <w:rPr>
                <w:spacing w:val="-4"/>
                <w:sz w:val="22"/>
              </w:rPr>
              <w:t>cambio: ¢571.76 </w:t>
            </w:r>
            <w:r>
              <w:rPr>
                <w:spacing w:val="-3"/>
                <w:sz w:val="22"/>
              </w:rPr>
              <w:t>del </w:t>
            </w:r>
            <w:r>
              <w:rPr>
                <w:spacing w:val="-4"/>
                <w:sz w:val="22"/>
              </w:rPr>
              <w:t>15/05/2020.</w:t>
            </w:r>
          </w:p>
        </w:tc>
        <w:tc>
          <w:tcPr>
            <w:tcW w:w="1815" w:type="dxa"/>
          </w:tcPr>
          <w:p>
            <w:pPr>
              <w:pStyle w:val="TableParagraph"/>
              <w:ind w:left="0"/>
              <w:rPr>
                <w:rFonts w:ascii="Times New Roman"/>
                <w:sz w:val="20"/>
              </w:rPr>
            </w:pPr>
          </w:p>
        </w:tc>
        <w:tc>
          <w:tcPr>
            <w:tcW w:w="1635" w:type="dxa"/>
          </w:tcPr>
          <w:p>
            <w:pPr>
              <w:pStyle w:val="TableParagraph"/>
              <w:ind w:left="0"/>
              <w:rPr>
                <w:rFonts w:ascii="Times New Roman"/>
                <w:sz w:val="20"/>
              </w:rPr>
            </w:pPr>
          </w:p>
        </w:tc>
      </w:tr>
    </w:tbl>
    <w:p>
      <w:pPr>
        <w:pStyle w:val="Heading2"/>
        <w:spacing w:line="280" w:lineRule="exact"/>
        <w:ind w:left="495"/>
      </w:pPr>
      <w:r>
        <w:rPr>
          <w:rFonts w:ascii="Times New Roman" w:hAnsi="Times New Roman"/>
          <w:b w:val="0"/>
          <w:sz w:val="24"/>
        </w:rPr>
        <w:t>126</w:t>
      </w:r>
      <w:r>
        <w:rPr/>
        <w:t>Monto total adjudicado para el oferente Grupo Comercial Tectronic S.A., es por ¢1,120.649,60.</w:t>
      </w:r>
    </w:p>
    <w:p>
      <w:pPr>
        <w:spacing w:before="35"/>
        <w:ind w:left="495" w:right="0" w:firstLine="0"/>
        <w:jc w:val="left"/>
        <w:rPr>
          <w:b/>
          <w:sz w:val="23"/>
        </w:rPr>
      </w:pPr>
      <w:r>
        <w:rPr>
          <w:rFonts w:ascii="Times New Roman"/>
          <w:sz w:val="24"/>
        </w:rPr>
        <w:t>127</w:t>
      </w:r>
      <w:r>
        <w:rPr>
          <w:b/>
          <w:sz w:val="23"/>
        </w:rPr>
        <w:t>Incluye impuesto de valor agregado.</w:t>
      </w:r>
    </w:p>
    <w:p>
      <w:pPr>
        <w:spacing w:line="259" w:lineRule="auto" w:before="39"/>
        <w:ind w:left="495" w:right="1035" w:firstLine="0"/>
        <w:jc w:val="left"/>
        <w:rPr>
          <w:sz w:val="20"/>
        </w:rPr>
      </w:pPr>
      <w:r>
        <w:rPr/>
        <w:pict>
          <v:shape style="position:absolute;margin-left:362.660645pt;margin-top:46.276489pt;width:59.9pt;height:59.45pt;mso-position-horizontal-relative:page;mso-position-vertical-relative:paragraph;z-index:-251858944" coordorigin="7253,926" coordsize="1198,1189" path="m7469,1863l7365,1931,7298,1996,7263,2053,7253,2095,7261,2110,7268,2114,7347,2114,7351,2112,7276,2112,7287,2068,7326,2005,7389,1934,7469,1863xm7765,926l7741,942,7729,979,7725,1020,7724,1050,7725,1077,7727,1106,7731,1137,7736,1168,7742,1200,7749,1233,7757,1267,7765,1300,7760,1327,7745,1374,7720,1437,7689,1513,7651,1597,7608,1686,7562,1776,7513,1862,7463,1942,7413,2010,7364,2064,7318,2099,7276,2112,7351,2112,7375,2097,7419,2056,7468,1996,7524,1916,7586,1814,7598,1811,7586,1811,7647,1701,7695,1608,7730,1531,7756,1466,7774,1412,7787,1367,7829,1367,7829,1366,7803,1296,7812,1234,7787,1234,7773,1181,7764,1129,7758,1080,7757,1036,7757,1018,7760,987,7768,955,7782,933,7812,933,7796,927,7765,926xm8420,1808l8409,1811,8400,1817,8393,1826,8391,1838,8393,1849,8400,1858,8409,1864,8420,1866,8433,1864,8439,1860,8408,1860,8397,1850,8397,1824,8408,1814,8439,1814,8433,1811,8420,1808xm8439,1814l8435,1814,8443,1824,8443,1850,8435,1860,8439,1860,8442,1858,8448,1849,8451,1838,8448,1826,8442,1817,8439,1814xm8429,1818l8409,1818,8409,1853,8415,1853,8415,1840,8431,1840,8430,1839,8426,1838,8434,1835,8415,1835,8415,1825,8433,1825,8432,1823,8429,1818xm8431,1840l8423,1840,8425,1844,8426,1847,8427,1853,8434,1853,8432,1847,8432,1843,8431,1840xm8433,1825l8424,1825,8426,1827,8426,1834,8423,1835,8434,1835,8434,1830,8433,1825xm7829,1367l7787,1367,7840,1476,7894,1558,7948,1615,7997,1655,8037,1680,7965,1694,7890,1711,7814,1731,7737,1754,7661,1781,7586,1811,7598,1811,7661,1791,7741,1769,7825,1750,7911,1734,7998,1721,8082,1711,8174,1711,8154,1702,8218,1699,8426,1699,8394,1681,8349,1672,8101,1672,8072,1656,8044,1638,8017,1620,7991,1601,7942,1553,7898,1496,7861,1433,7829,1367xm8174,1711l8082,1711,8162,1747,8242,1774,8314,1791,8375,1797,8400,1796,8419,1791,8432,1782,8434,1778,8401,1778,8352,1772,8293,1757,8225,1733,8174,1711xm8438,1769l8430,1773,8417,1778,8434,1778,8438,1769xm8426,1699l8295,1699,8368,1706,8423,1724,8443,1756,8447,1747,8451,1744,8451,1735,8436,1704,8426,1699xm8247,1663l8214,1664,8179,1666,8101,1672,8349,1672,8330,1668,8247,1663xm7824,1026l7817,1062,7810,1108,7800,1165,7787,1234,7812,1234,7813,1226,7819,1159,7822,1093,7824,1026xm7812,933l7782,933,7796,941,7808,954,7818,975,7824,1004,7828,958,7818,935,7812,933xe" filled="true" fillcolor="#ffd8d8" stroked="false">
            <v:path arrowok="t"/>
            <v:fill type="solid"/>
            <w10:wrap type="none"/>
          </v:shape>
        </w:pict>
      </w:r>
      <w:r>
        <w:rPr>
          <w:rFonts w:ascii="Times New Roman" w:hAnsi="Times New Roman"/>
          <w:sz w:val="24"/>
        </w:rPr>
        <w:t>128</w:t>
      </w:r>
      <w:r>
        <w:rPr>
          <w:b/>
          <w:sz w:val="23"/>
        </w:rPr>
        <w:t>Todo lo anterior, de acuerdo con los términos y condiciones del cartel. Licda. Sandra Cambronero </w:t>
      </w:r>
      <w:r>
        <w:rPr>
          <w:rFonts w:ascii="Times New Roman" w:hAnsi="Times New Roman"/>
          <w:sz w:val="24"/>
        </w:rPr>
        <w:t>129</w:t>
      </w:r>
      <w:r>
        <w:rPr>
          <w:b/>
          <w:sz w:val="23"/>
        </w:rPr>
        <w:t>Cascante, Coordinadora, Adminsitración Regional del II Circuito Judicial de Alajuela. mbg </w:t>
      </w:r>
      <w:r>
        <w:rPr>
          <w:rFonts w:ascii="Times New Roman" w:hAnsi="Times New Roman"/>
          <w:w w:val="95"/>
          <w:sz w:val="24"/>
        </w:rPr>
        <w:t>130</w:t>
      </w:r>
      <w:r>
        <w:rPr>
          <w:w w:val="95"/>
          <w:sz w:val="20"/>
        </w:rPr>
        <w:t>*************************************************************************************************</w:t>
      </w:r>
    </w:p>
    <w:p>
      <w:pPr>
        <w:spacing w:line="152" w:lineRule="exact" w:before="0"/>
        <w:ind w:left="5872" w:right="0" w:firstLine="0"/>
        <w:jc w:val="left"/>
        <w:rPr>
          <w:sz w:val="16"/>
        </w:rPr>
      </w:pPr>
      <w:r>
        <w:rPr>
          <w:w w:val="105"/>
          <w:position w:val="-6"/>
          <w:sz w:val="24"/>
        </w:rPr>
        <w:t>SANDRA MARIA </w:t>
      </w:r>
      <w:r>
        <w:rPr>
          <w:w w:val="105"/>
          <w:sz w:val="16"/>
        </w:rPr>
        <w:t>Firmado digitalmente</w:t>
      </w:r>
    </w:p>
    <w:p>
      <w:pPr>
        <w:spacing w:after="0" w:line="152" w:lineRule="exact"/>
        <w:jc w:val="left"/>
        <w:rPr>
          <w:sz w:val="16"/>
        </w:rPr>
        <w:sectPr>
          <w:pgSz w:w="12240" w:h="15840"/>
          <w:pgMar w:top="1140" w:bottom="280" w:left="280" w:right="440"/>
        </w:sectPr>
      </w:pPr>
    </w:p>
    <w:p>
      <w:pPr>
        <w:pStyle w:val="Heading1"/>
        <w:spacing w:line="244" w:lineRule="auto" w:before="98"/>
        <w:ind w:left="5872"/>
        <w:rPr>
          <w:rFonts w:ascii="Calibri"/>
        </w:rPr>
      </w:pPr>
      <w:r>
        <w:rPr>
          <w:rFonts w:ascii="Calibri"/>
        </w:rPr>
        <w:t>CAMBRONERO </w:t>
      </w:r>
      <w:r>
        <w:rPr>
          <w:rFonts w:ascii="Calibri"/>
          <w:w w:val="105"/>
        </w:rPr>
        <w:t>CASCANTE (FIRMA)</w:t>
      </w:r>
    </w:p>
    <w:p>
      <w:pPr>
        <w:spacing w:before="3"/>
        <w:ind w:left="166" w:right="2198" w:firstLine="0"/>
        <w:jc w:val="left"/>
        <w:rPr>
          <w:sz w:val="16"/>
        </w:rPr>
      </w:pPr>
      <w:r>
        <w:rPr/>
        <w:br w:type="column"/>
      </w:r>
      <w:r>
        <w:rPr>
          <w:w w:val="105"/>
          <w:sz w:val="16"/>
        </w:rPr>
        <w:t>por SANDRA MARIA CAMBRONERO CASCANTE (FIRMA) Fecha: 2020.05.15</w:t>
      </w:r>
    </w:p>
    <w:p>
      <w:pPr>
        <w:spacing w:before="6"/>
        <w:ind w:left="166" w:right="0" w:firstLine="0"/>
        <w:jc w:val="left"/>
        <w:rPr>
          <w:sz w:val="16"/>
        </w:rPr>
      </w:pPr>
      <w:r>
        <w:rPr>
          <w:sz w:val="16"/>
        </w:rPr>
        <w:t>14:34:52 -06'00'</w:t>
      </w:r>
    </w:p>
    <w:sectPr>
      <w:type w:val="continuous"/>
      <w:pgSz w:w="12240" w:h="15840"/>
      <w:pgMar w:top="1040" w:bottom="280" w:left="280" w:right="440"/>
      <w:cols w:num="2" w:equalWidth="0">
        <w:col w:w="7395" w:space="40"/>
        <w:col w:w="408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9" w:hanging="286"/>
      </w:pPr>
      <w:rPr>
        <w:rFonts w:hint="default" w:ascii="Symbol" w:hAnsi="Symbol" w:eastAsia="Symbol" w:cs="Symbol"/>
        <w:w w:val="100"/>
        <w:sz w:val="22"/>
        <w:szCs w:val="22"/>
        <w:lang w:val="es-ES" w:eastAsia="es-ES" w:bidi="es-ES"/>
      </w:rPr>
    </w:lvl>
    <w:lvl w:ilvl="1">
      <w:start w:val="0"/>
      <w:numFmt w:val="bullet"/>
      <w:lvlText w:val="•"/>
      <w:lvlJc w:val="left"/>
      <w:pPr>
        <w:ind w:left="578" w:hanging="286"/>
      </w:pPr>
      <w:rPr>
        <w:rFonts w:hint="default"/>
        <w:lang w:val="es-ES" w:eastAsia="es-ES" w:bidi="es-ES"/>
      </w:rPr>
    </w:lvl>
    <w:lvl w:ilvl="2">
      <w:start w:val="0"/>
      <w:numFmt w:val="bullet"/>
      <w:lvlText w:val="•"/>
      <w:lvlJc w:val="left"/>
      <w:pPr>
        <w:ind w:left="1097" w:hanging="286"/>
      </w:pPr>
      <w:rPr>
        <w:rFonts w:hint="default"/>
        <w:lang w:val="es-ES" w:eastAsia="es-ES" w:bidi="es-ES"/>
      </w:rPr>
    </w:lvl>
    <w:lvl w:ilvl="3">
      <w:start w:val="0"/>
      <w:numFmt w:val="bullet"/>
      <w:lvlText w:val="•"/>
      <w:lvlJc w:val="left"/>
      <w:pPr>
        <w:ind w:left="1615" w:hanging="286"/>
      </w:pPr>
      <w:rPr>
        <w:rFonts w:hint="default"/>
        <w:lang w:val="es-ES" w:eastAsia="es-ES" w:bidi="es-ES"/>
      </w:rPr>
    </w:lvl>
    <w:lvl w:ilvl="4">
      <w:start w:val="0"/>
      <w:numFmt w:val="bullet"/>
      <w:lvlText w:val="•"/>
      <w:lvlJc w:val="left"/>
      <w:pPr>
        <w:ind w:left="2134" w:hanging="286"/>
      </w:pPr>
      <w:rPr>
        <w:rFonts w:hint="default"/>
        <w:lang w:val="es-ES" w:eastAsia="es-ES" w:bidi="es-ES"/>
      </w:rPr>
    </w:lvl>
    <w:lvl w:ilvl="5">
      <w:start w:val="0"/>
      <w:numFmt w:val="bullet"/>
      <w:lvlText w:val="•"/>
      <w:lvlJc w:val="left"/>
      <w:pPr>
        <w:ind w:left="2653" w:hanging="286"/>
      </w:pPr>
      <w:rPr>
        <w:rFonts w:hint="default"/>
        <w:lang w:val="es-ES" w:eastAsia="es-ES" w:bidi="es-ES"/>
      </w:rPr>
    </w:lvl>
    <w:lvl w:ilvl="6">
      <w:start w:val="0"/>
      <w:numFmt w:val="bullet"/>
      <w:lvlText w:val="•"/>
      <w:lvlJc w:val="left"/>
      <w:pPr>
        <w:ind w:left="3171" w:hanging="286"/>
      </w:pPr>
      <w:rPr>
        <w:rFonts w:hint="default"/>
        <w:lang w:val="es-ES" w:eastAsia="es-ES" w:bidi="es-ES"/>
      </w:rPr>
    </w:lvl>
    <w:lvl w:ilvl="7">
      <w:start w:val="0"/>
      <w:numFmt w:val="bullet"/>
      <w:lvlText w:val="•"/>
      <w:lvlJc w:val="left"/>
      <w:pPr>
        <w:ind w:left="3690" w:hanging="286"/>
      </w:pPr>
      <w:rPr>
        <w:rFonts w:hint="default"/>
        <w:lang w:val="es-ES" w:eastAsia="es-ES" w:bidi="es-ES"/>
      </w:rPr>
    </w:lvl>
    <w:lvl w:ilvl="8">
      <w:start w:val="0"/>
      <w:numFmt w:val="bullet"/>
      <w:lvlText w:val="•"/>
      <w:lvlJc w:val="left"/>
      <w:pPr>
        <w:ind w:left="4208" w:hanging="286"/>
      </w:pPr>
      <w:rPr>
        <w:rFonts w:hint="default"/>
        <w:lang w:val="es-ES" w:eastAsia="es-ES" w:bidi="es-ES"/>
      </w:rPr>
    </w:lvl>
  </w:abstractNum>
  <w:abstractNum w:abstractNumId="0">
    <w:multiLevelType w:val="hybridMultilevel"/>
    <w:lvl w:ilvl="0">
      <w:start w:val="0"/>
      <w:numFmt w:val="bullet"/>
      <w:lvlText w:val=""/>
      <w:lvlJc w:val="left"/>
      <w:pPr>
        <w:ind w:left="69" w:hanging="286"/>
      </w:pPr>
      <w:rPr>
        <w:rFonts w:hint="default" w:ascii="Symbol" w:hAnsi="Symbol" w:eastAsia="Symbol" w:cs="Symbol"/>
        <w:w w:val="100"/>
        <w:sz w:val="22"/>
        <w:szCs w:val="22"/>
        <w:lang w:val="es-ES" w:eastAsia="es-ES" w:bidi="es-ES"/>
      </w:rPr>
    </w:lvl>
    <w:lvl w:ilvl="1">
      <w:start w:val="0"/>
      <w:numFmt w:val="bullet"/>
      <w:lvlText w:val="•"/>
      <w:lvlJc w:val="left"/>
      <w:pPr>
        <w:ind w:left="578" w:hanging="286"/>
      </w:pPr>
      <w:rPr>
        <w:rFonts w:hint="default"/>
        <w:lang w:val="es-ES" w:eastAsia="es-ES" w:bidi="es-ES"/>
      </w:rPr>
    </w:lvl>
    <w:lvl w:ilvl="2">
      <w:start w:val="0"/>
      <w:numFmt w:val="bullet"/>
      <w:lvlText w:val="•"/>
      <w:lvlJc w:val="left"/>
      <w:pPr>
        <w:ind w:left="1097" w:hanging="286"/>
      </w:pPr>
      <w:rPr>
        <w:rFonts w:hint="default"/>
        <w:lang w:val="es-ES" w:eastAsia="es-ES" w:bidi="es-ES"/>
      </w:rPr>
    </w:lvl>
    <w:lvl w:ilvl="3">
      <w:start w:val="0"/>
      <w:numFmt w:val="bullet"/>
      <w:lvlText w:val="•"/>
      <w:lvlJc w:val="left"/>
      <w:pPr>
        <w:ind w:left="1615" w:hanging="286"/>
      </w:pPr>
      <w:rPr>
        <w:rFonts w:hint="default"/>
        <w:lang w:val="es-ES" w:eastAsia="es-ES" w:bidi="es-ES"/>
      </w:rPr>
    </w:lvl>
    <w:lvl w:ilvl="4">
      <w:start w:val="0"/>
      <w:numFmt w:val="bullet"/>
      <w:lvlText w:val="•"/>
      <w:lvlJc w:val="left"/>
      <w:pPr>
        <w:ind w:left="2134" w:hanging="286"/>
      </w:pPr>
      <w:rPr>
        <w:rFonts w:hint="default"/>
        <w:lang w:val="es-ES" w:eastAsia="es-ES" w:bidi="es-ES"/>
      </w:rPr>
    </w:lvl>
    <w:lvl w:ilvl="5">
      <w:start w:val="0"/>
      <w:numFmt w:val="bullet"/>
      <w:lvlText w:val="•"/>
      <w:lvlJc w:val="left"/>
      <w:pPr>
        <w:ind w:left="2653" w:hanging="286"/>
      </w:pPr>
      <w:rPr>
        <w:rFonts w:hint="default"/>
        <w:lang w:val="es-ES" w:eastAsia="es-ES" w:bidi="es-ES"/>
      </w:rPr>
    </w:lvl>
    <w:lvl w:ilvl="6">
      <w:start w:val="0"/>
      <w:numFmt w:val="bullet"/>
      <w:lvlText w:val="•"/>
      <w:lvlJc w:val="left"/>
      <w:pPr>
        <w:ind w:left="3171" w:hanging="286"/>
      </w:pPr>
      <w:rPr>
        <w:rFonts w:hint="default"/>
        <w:lang w:val="es-ES" w:eastAsia="es-ES" w:bidi="es-ES"/>
      </w:rPr>
    </w:lvl>
    <w:lvl w:ilvl="7">
      <w:start w:val="0"/>
      <w:numFmt w:val="bullet"/>
      <w:lvlText w:val="•"/>
      <w:lvlJc w:val="left"/>
      <w:pPr>
        <w:ind w:left="3690" w:hanging="286"/>
      </w:pPr>
      <w:rPr>
        <w:rFonts w:hint="default"/>
        <w:lang w:val="es-ES" w:eastAsia="es-ES" w:bidi="es-ES"/>
      </w:rPr>
    </w:lvl>
    <w:lvl w:ilvl="8">
      <w:start w:val="0"/>
      <w:numFmt w:val="bullet"/>
      <w:lvlText w:val="•"/>
      <w:lvlJc w:val="left"/>
      <w:pPr>
        <w:ind w:left="4208" w:hanging="286"/>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spacing w:before="36"/>
      <w:ind w:left="615"/>
    </w:pPr>
    <w:rPr>
      <w:rFonts w:ascii="Calibri" w:hAnsi="Calibri" w:eastAsia="Calibri" w:cs="Calibri"/>
      <w:sz w:val="23"/>
      <w:szCs w:val="23"/>
      <w:lang w:val="es-ES" w:eastAsia="es-ES" w:bidi="es-ES"/>
    </w:rPr>
  </w:style>
  <w:style w:styleId="Heading1" w:type="paragraph">
    <w:name w:val="Heading 1"/>
    <w:basedOn w:val="Normal"/>
    <w:uiPriority w:val="1"/>
    <w:qFormat/>
    <w:pPr>
      <w:spacing w:before="48"/>
      <w:ind w:left="615"/>
      <w:outlineLvl w:val="1"/>
    </w:pPr>
    <w:rPr>
      <w:rFonts w:ascii="Times New Roman" w:hAnsi="Times New Roman" w:eastAsia="Times New Roman" w:cs="Times New Roman"/>
      <w:sz w:val="24"/>
      <w:szCs w:val="24"/>
      <w:lang w:val="es-ES" w:eastAsia="es-ES" w:bidi="es-ES"/>
    </w:rPr>
  </w:style>
  <w:style w:styleId="Heading2" w:type="paragraph">
    <w:name w:val="Heading 2"/>
    <w:basedOn w:val="Normal"/>
    <w:uiPriority w:val="1"/>
    <w:qFormat/>
    <w:pPr>
      <w:ind w:left="615"/>
      <w:outlineLvl w:val="2"/>
    </w:pPr>
    <w:rPr>
      <w:rFonts w:ascii="Calibri" w:hAnsi="Calibri" w:eastAsia="Calibri" w:cs="Calibri"/>
      <w:b/>
      <w:bCs/>
      <w:sz w:val="23"/>
      <w:szCs w:val="23"/>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ind w:left="69"/>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ottiam@hacienda.go.cr"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mailto:sgamboa@poder-judicial.go.c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mberrocalg</dc:creator>
  <dc:title>Resolución 000005-UARSCCM-2020</dc:title>
  <dcterms:created xsi:type="dcterms:W3CDTF">2020-06-04T17:18:34Z</dcterms:created>
  <dcterms:modified xsi:type="dcterms:W3CDTF">2020-06-04T17:18:34Z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PDFCreator 3.1.2.10844</vt:lpwstr>
  </property>
  <property fmtid="{D5CDD505-2E9C-101B-9397-08002B2CF9AE}" pid="4" name="LastSaved">
    <vt:filetime>2020-06-04T00:00:00Z</vt:filetime>
  </property>
</Properties>
</file>