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47.25pt;height:80.05pt;mso-position-horizontal-relative:char;mso-position-vertical-relative:line" coordorigin="0,0" coordsize="8945,1601">
            <v:rect style="position:absolute;left:7;top:7;width:8928;height:1584" filled="true" fillcolor="#c0c0c0" stroked="false">
              <v:fill type="solid"/>
            </v:rect>
            <v:line style="position:absolute" from="7,1592" to="4471,1592" stroked="true" strokeweight=".84pt" strokecolor="#000000">
              <v:stroke dashstyle="solid"/>
            </v:line>
            <v:rect style="position:absolute;left:0;top:1591;width:8;height:10" filled="true" fillcolor="#000000" stroked="false">
              <v:fill type="solid"/>
            </v:rect>
            <v:line style="position:absolute" from="8,7" to="8,1591" stroked="true" strokeweight=".84pt" strokecolor="#000000">
              <v:stroke dashstyle="solid"/>
            </v:line>
            <v:rect style="position:absolute;left:0;top:0;width:8;height:8" filled="true" fillcolor="#000000" stroked="false">
              <v:fill type="solid"/>
            </v:rect>
            <v:line style="position:absolute" from="7,8" to="8935,8" stroked="true" strokeweight=".84pt" strokecolor="#000000">
              <v:stroke dashstyle="solid"/>
            </v:line>
            <v:rect style="position:absolute;left:8935;top:0;width:10;height:8" filled="true" fillcolor="#000000" stroked="false">
              <v:fill type="solid"/>
            </v:rect>
            <v:line style="position:absolute" from="8936,7" to="8936,1591" stroked="true" strokeweight=".84pt" strokecolor="#000000">
              <v:stroke dashstyle="solid"/>
            </v:line>
            <v:rect style="position:absolute;left:8935;top:1591;width:10;height:10" filled="true" fillcolor="#000000" stroked="false">
              <v:fill type="solid"/>
            </v:rect>
            <v:line style="position:absolute" from="4471,1592" to="8935,1592" stroked="true" strokeweight=".84pt" strokecolor="#000000">
              <v:stroke dashstyle="solid"/>
            </v:line>
            <v:shape style="position:absolute;left:4000;top:129;width:797;height:881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7;top:1069;width:8332;height:451" type="#_x0000_t202" filled="false" stroked="false">
              <v:textbox inset="0,0,0,0">
                <w:txbxContent>
                  <w:p>
                    <w:pPr>
                      <w:tabs>
                        <w:tab w:pos="144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Garamond" w:hAnsi="Garamond"/>
                        <w:sz w:val="24"/>
                      </w:rPr>
                    </w:pPr>
                    <w:r>
                      <w:rPr>
                        <w:rFonts w:ascii="Garamond" w:hAnsi="Garamond"/>
                        <w:w w:val="105"/>
                        <w:sz w:val="16"/>
                      </w:rPr>
                      <w:t>Tel.</w:t>
                    </w:r>
                    <w:r>
                      <w:rPr>
                        <w:rFonts w:ascii="Garamond" w:hAnsi="Garamond"/>
                        <w:spacing w:val="1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aramond" w:hAnsi="Garamond"/>
                        <w:w w:val="105"/>
                        <w:sz w:val="16"/>
                      </w:rPr>
                      <w:t>2437-0449</w:t>
                      <w:tab/>
                    </w:r>
                    <w:r>
                      <w:rPr>
                        <w:rFonts w:ascii="Garamond" w:hAnsi="Garamond"/>
                        <w:w w:val="105"/>
                        <w:sz w:val="24"/>
                      </w:rPr>
                      <w:t>ADMINISTRACIÓN REGIONAL DE</w:t>
                    </w:r>
                    <w:r>
                      <w:rPr>
                        <w:rFonts w:ascii="Garamond" w:hAnsi="Garamond"/>
                        <w:spacing w:val="-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aramond" w:hAnsi="Garamond"/>
                        <w:w w:val="105"/>
                        <w:sz w:val="24"/>
                      </w:rPr>
                      <w:t>ALAJUELA</w:t>
                    </w:r>
                  </w:p>
                  <w:p>
                    <w:pPr>
                      <w:tabs>
                        <w:tab w:pos="707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Garamond"/>
                        <w:sz w:val="16"/>
                      </w:rPr>
                    </w:pPr>
                    <w:r>
                      <w:rPr>
                        <w:rFonts w:ascii="Garamond"/>
                        <w:sz w:val="16"/>
                      </w:rPr>
                      <w:t>Fax.</w:t>
                    </w:r>
                    <w:r>
                      <w:rPr>
                        <w:rFonts w:ascii="Garamond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Garamond"/>
                        <w:sz w:val="16"/>
                      </w:rPr>
                      <w:t>2442-2333</w:t>
                      <w:tab/>
                      <w:t>Alajuela, Costa</w:t>
                    </w:r>
                    <w:r>
                      <w:rPr>
                        <w:rFonts w:ascii="Garamond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Garamond"/>
                        <w:sz w:val="16"/>
                      </w:rPr>
                      <w:t>Rica</w:t>
                    </w:r>
                  </w:p>
                </w:txbxContent>
              </v:textbox>
              <w10:wrap type="none"/>
            </v:shape>
            <v:shape style="position:absolute;left:4802;top:801;width:1140;height:2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Garamond"/>
                        <w:sz w:val="24"/>
                      </w:rPr>
                    </w:pPr>
                    <w:r>
                      <w:rPr>
                        <w:rFonts w:ascii="Garamond"/>
                        <w:w w:val="105"/>
                        <w:sz w:val="24"/>
                      </w:rPr>
                      <w:t>JUDICIAL</w:t>
                    </w:r>
                  </w:p>
                </w:txbxContent>
              </v:textbox>
              <w10:wrap type="none"/>
            </v:shape>
            <v:shape style="position:absolute;left:2959;top:801;width:884;height:27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Garamond"/>
                        <w:sz w:val="24"/>
                      </w:rPr>
                    </w:pPr>
                    <w:r>
                      <w:rPr>
                        <w:rFonts w:ascii="Garamond"/>
                        <w:w w:val="105"/>
                        <w:sz w:val="24"/>
                      </w:rPr>
                      <w:t>PODER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pStyle w:val="BodyText"/>
        <w:ind w:left="552" w:right="431"/>
        <w:jc w:val="center"/>
      </w:pPr>
      <w:r>
        <w:rPr/>
        <w:t>RESUMEN DE ADJUDICACIÓN INFRUCTUOSO N˚ 01-ARICJA/CM-20</w:t>
      </w:r>
    </w:p>
    <w:p>
      <w:pPr>
        <w:pStyle w:val="BodyText"/>
        <w:spacing w:line="276" w:lineRule="auto" w:before="43"/>
        <w:ind w:left="3088" w:right="2961"/>
        <w:jc w:val="center"/>
      </w:pPr>
      <w:r>
        <w:rPr/>
        <w:t>Requisición No 000340-SR-2020 Subpartida 2.02.03</w:t>
      </w:r>
    </w:p>
    <w:p>
      <w:pPr>
        <w:pStyle w:val="BodyText"/>
        <w:spacing w:line="276" w:lineRule="auto"/>
        <w:ind w:left="3380" w:right="3255" w:firstLine="58"/>
        <w:jc w:val="center"/>
      </w:pPr>
      <w:r>
        <w:rPr/>
        <w:t>03 de febrero de 2020 2020CD-000002-UARACM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558" w:right="431"/>
        <w:jc w:val="center"/>
      </w:pPr>
      <w:r>
        <w:rPr/>
        <w:t>“Servicio de alimentación para los privados de libertad que deben permanecer en la Oficina Regional del O.I.J. de Atenas“.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243"/>
      </w:pPr>
      <w:r>
        <w:rPr/>
        <w:t>Observaciones: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1"/>
        <w:ind w:left="243" w:right="117"/>
        <w:jc w:val="both"/>
      </w:pPr>
      <w:r>
        <w:rPr/>
        <w:t>Según antecedentes que constan en el expediente de la Compra Menor N.º 2020CD− 000002−UARACM, que corresponde al “Servicio de alimentación para los privados de libertad que deben permanecer en la Oficina Regional del O.I.J. de Aten</w:t>
      </w:r>
      <w:r>
        <w:rPr>
          <w:sz w:val="22"/>
        </w:rPr>
        <w:t>s</w:t>
      </w:r>
      <w:r>
        <w:rPr/>
        <w:t>”, se declara infructuoso por interés institucional, por no presentación de ofertas.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288" w:lineRule="exact"/>
        <w:ind w:left="244"/>
        <w:jc w:val="both"/>
      </w:pPr>
      <w:r>
        <w:rPr/>
        <w:pict>
          <v:shape style="position:absolute;margin-left:130.741791pt;margin-top:14.507674pt;width:46.9pt;height:46.6pt;mso-position-horizontal-relative:page;mso-position-vertical-relative:paragraph;z-index:-251739136" coordorigin="2615,290" coordsize="938,932" path="m2784,1025l2702,1078,2650,1129,2623,1173,2615,1206,2621,1218,2626,1221,2686,1221,2692,1220,2633,1220,2641,1185,2672,1136,2721,1080,2784,1025xm3016,290l2997,303,2988,332,2984,364,2984,388,2984,409,2986,431,2989,455,2993,480,2998,505,3003,532,3009,557,3016,583,3009,614,2989,670,2959,744,2920,830,2875,921,2826,1011,2775,1092,2725,1158,2676,1203,2633,1220,2692,1220,2695,1218,2745,1175,2805,1099,2876,986,2885,984,2876,984,2932,882,2973,799,3001,733,3021,679,3033,636,3067,636,3046,581,3053,532,3033,532,3022,490,3015,449,3011,411,3009,377,3010,363,3012,338,3018,313,3029,296,3053,296,3040,291,3016,290xm3543,982l3516,982,3506,991,3506,1017,3516,1027,3543,1027,3548,1022,3519,1022,3511,1014,3511,994,3519,986,3548,986,3543,982xm3548,986l3540,986,3547,994,3547,1014,3540,1022,3548,1022,3553,1017,3553,991,3548,986xm3536,989l3520,989,3520,1017,3525,1017,3525,1007,3537,1007,3537,1006,3534,1005,3539,1003,3525,1003,3525,995,3539,995,3538,993,3536,989xm3537,1007l3531,1007,3533,1009,3534,1012,3535,1017,3539,1017,3538,1012,3538,1008,3537,1007xm3539,995l3532,995,3534,996,3534,1002,3531,1003,3539,1003,3539,999,3539,995xm3067,636l3033,636,3085,739,3138,810,3188,855,3229,881,3161,895,3090,911,3018,932,2946,956,2876,984,2885,984,2946,964,3023,945,3103,928,3184,915,3264,905,3336,905,3321,899,3385,896,3533,896,3508,882,3473,875,3279,875,3256,862,3235,848,3213,834,3193,819,3145,771,3105,713,3072,649,3067,636xm3336,905l3264,905,3327,934,3389,955,3446,968,3494,973,3513,972,3528,968,3538,961,3540,958,3514,958,3476,954,3429,941,3376,923,3336,905xm3543,951l3537,954,3526,958,3540,958,3543,951xm3533,896l3385,896,3461,898,3523,911,3547,941,3550,934,3553,931,3553,924,3541,900,3533,896xm3393,868l3368,869,3340,870,3279,875,3473,875,3458,872,3393,868xm3062,368l3057,397,3051,433,3043,478,3033,532,3053,532,3053,526,3058,473,3060,421,3062,368xm3053,296l3029,296,3040,302,3050,313,3057,329,3062,351,3065,316,3058,298,3053,296xe" filled="true" fillcolor="#ffd8d8" stroked="false">
            <v:path arrowok="t"/>
            <v:fill type="solid"/>
            <w10:wrap type="none"/>
          </v:shape>
        </w:pict>
      </w:r>
      <w:r>
        <w:rPr/>
        <w:t>Se procederá a realizar un nuevo procedimiento.</w:t>
      </w:r>
    </w:p>
    <w:p>
      <w:pPr>
        <w:spacing w:after="0" w:line="288" w:lineRule="exact"/>
        <w:jc w:val="both"/>
        <w:sectPr>
          <w:type w:val="continuous"/>
          <w:pgSz w:w="12240" w:h="15840"/>
          <w:pgMar w:top="580" w:bottom="280" w:left="1460" w:right="1580"/>
        </w:sectPr>
      </w:pPr>
    </w:p>
    <w:p>
      <w:pPr>
        <w:spacing w:line="252" w:lineRule="exact" w:before="71"/>
        <w:ind w:left="158" w:right="0" w:firstLine="0"/>
        <w:jc w:val="left"/>
        <w:rPr>
          <w:sz w:val="21"/>
        </w:rPr>
      </w:pPr>
      <w:r>
        <w:rPr>
          <w:w w:val="105"/>
          <w:sz w:val="21"/>
        </w:rPr>
        <w:t>DAYANA</w:t>
      </w:r>
    </w:p>
    <w:p>
      <w:pPr>
        <w:spacing w:line="237" w:lineRule="auto" w:before="2"/>
        <w:ind w:left="158" w:right="5972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Firmado digitalmente por DAYANA NOVOA</w:t>
      </w:r>
    </w:p>
    <w:p>
      <w:pPr>
        <w:spacing w:after="0" w:line="237" w:lineRule="auto"/>
        <w:jc w:val="left"/>
        <w:rPr>
          <w:sz w:val="15"/>
        </w:rPr>
        <w:sectPr>
          <w:type w:val="continuous"/>
          <w:pgSz w:w="12240" w:h="15840"/>
          <w:pgMar w:top="580" w:bottom="280" w:left="1460" w:right="1580"/>
          <w:cols w:num="2" w:equalWidth="0">
            <w:col w:w="973" w:space="518"/>
            <w:col w:w="7709"/>
          </w:cols>
        </w:sectPr>
      </w:pPr>
    </w:p>
    <w:p>
      <w:pPr>
        <w:spacing w:line="178" w:lineRule="exact" w:before="0"/>
        <w:ind w:left="158" w:right="0" w:firstLine="0"/>
        <w:jc w:val="left"/>
        <w:rPr>
          <w:sz w:val="15"/>
        </w:rPr>
      </w:pPr>
      <w:r>
        <w:rPr>
          <w:sz w:val="21"/>
        </w:rPr>
        <w:t>NOVOA MUÑOZ </w:t>
      </w:r>
      <w:r>
        <w:rPr>
          <w:position w:val="2"/>
          <w:sz w:val="15"/>
        </w:rPr>
        <w:t>MUÑOZ (FIRMA)</w:t>
      </w:r>
    </w:p>
    <w:p>
      <w:pPr>
        <w:spacing w:after="0" w:line="178" w:lineRule="exact"/>
        <w:jc w:val="left"/>
        <w:rPr>
          <w:sz w:val="15"/>
        </w:rPr>
        <w:sectPr>
          <w:type w:val="continuous"/>
          <w:pgSz w:w="12240" w:h="15840"/>
          <w:pgMar w:top="580" w:bottom="280" w:left="1460" w:right="1580"/>
        </w:sectPr>
      </w:pPr>
    </w:p>
    <w:p>
      <w:pPr>
        <w:spacing w:line="150" w:lineRule="exact" w:before="30"/>
        <w:ind w:left="158" w:right="0" w:firstLine="0"/>
        <w:jc w:val="left"/>
        <w:rPr>
          <w:sz w:val="21"/>
        </w:rPr>
      </w:pPr>
      <w:r>
        <w:rPr>
          <w:sz w:val="21"/>
        </w:rPr>
        <w:t>(FIRMA)</w:t>
      </w:r>
    </w:p>
    <w:p>
      <w:pPr>
        <w:spacing w:line="180" w:lineRule="exact" w:before="0"/>
        <w:ind w:left="158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Fecha: 2020.02.03</w:t>
      </w:r>
    </w:p>
    <w:p>
      <w:pPr>
        <w:spacing w:after="0" w:line="180" w:lineRule="exact"/>
        <w:jc w:val="left"/>
        <w:rPr>
          <w:sz w:val="15"/>
        </w:rPr>
        <w:sectPr>
          <w:type w:val="continuous"/>
          <w:pgSz w:w="12240" w:h="15840"/>
          <w:pgMar w:top="580" w:bottom="280" w:left="1460" w:right="1580"/>
          <w:cols w:num="2" w:equalWidth="0">
            <w:col w:w="878" w:space="613"/>
            <w:col w:w="7709"/>
          </w:cols>
        </w:sectPr>
      </w:pPr>
    </w:p>
    <w:p>
      <w:pPr>
        <w:tabs>
          <w:tab w:pos="1649" w:val="left" w:leader="none"/>
        </w:tabs>
        <w:spacing w:before="1"/>
        <w:ind w:left="244" w:right="0" w:firstLine="0"/>
        <w:jc w:val="left"/>
        <w:rPr>
          <w:sz w:val="15"/>
        </w:rPr>
      </w:pPr>
      <w:r>
        <w:rPr>
          <w:w w:val="94"/>
          <w:sz w:val="15"/>
          <w:u w:val="single"/>
        </w:rPr>
        <w:t> </w:t>
      </w:r>
      <w:r>
        <w:rPr>
          <w:sz w:val="15"/>
          <w:u w:val="single"/>
        </w:rPr>
        <w:tab/>
        <w:t>11:12:20</w:t>
      </w:r>
      <w:r>
        <w:rPr>
          <w:spacing w:val="-3"/>
          <w:sz w:val="15"/>
          <w:u w:val="single"/>
        </w:rPr>
        <w:t> </w:t>
      </w:r>
      <w:r>
        <w:rPr>
          <w:sz w:val="15"/>
          <w:u w:val="single"/>
        </w:rPr>
        <w:t>-06'00'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70" w:lineRule="auto" w:before="52"/>
        <w:ind w:left="244" w:right="5388"/>
      </w:pPr>
      <w:r>
        <w:rPr/>
        <w:t>Msc. Dayana Novoa Muñoz Administradora Regional de Alajuela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51"/>
        <w:ind w:left="558" w:right="187"/>
        <w:jc w:val="center"/>
      </w:pPr>
      <w:r>
        <w:rPr/>
        <w:t>SELLO</w:t>
      </w:r>
    </w:p>
    <w:sectPr>
      <w:type w:val="continuous"/>
      <w:pgSz w:w="12240" w:h="15840"/>
      <w:pgMar w:top="580" w:bottom="280" w:left="14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jmurilloq</dc:creator>
  <dc:title>(Resumen de Adjudicaci\363n Infructuoso No 01-ARICJA-CM-20.doc)</dc:title>
  <dcterms:created xsi:type="dcterms:W3CDTF">2020-05-07T19:15:02Z</dcterms:created>
  <dcterms:modified xsi:type="dcterms:W3CDTF">2020-05-07T19:15:02Z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2020-05-07T00:00:00Z</vt:filetime>
  </property>
</Properties>
</file>