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sz w:val="27"/>
        </w:rPr>
      </w:pPr>
    </w:p>
    <w:p>
      <w:pPr>
        <w:pStyle w:val="Heading1"/>
        <w:spacing w:before="90"/>
        <w:ind w:left="4365" w:right="2155"/>
        <w:rPr>
          <w:u w:val="none"/>
        </w:rPr>
      </w:pPr>
      <w:r>
        <w:rPr>
          <w:u w:val="none"/>
        </w:rPr>
        <w:t>San José, 19 de marzo de 2020 N° 2807-2020</w:t>
      </w:r>
    </w:p>
    <w:p>
      <w:pPr>
        <w:spacing w:before="0"/>
        <w:ind w:left="4365" w:right="0" w:firstLine="0"/>
        <w:jc w:val="left"/>
        <w:rPr>
          <w:b/>
          <w:sz w:val="24"/>
        </w:rPr>
      </w:pPr>
      <w:r>
        <w:rPr>
          <w:b/>
          <w:sz w:val="24"/>
        </w:rPr>
        <w:t>Al contestar refiérase a este # de oficio</w:t>
      </w:r>
    </w:p>
    <w:p>
      <w:pPr>
        <w:pStyle w:val="BodyText"/>
        <w:rPr>
          <w:b/>
        </w:rPr>
      </w:pPr>
    </w:p>
    <w:p>
      <w:pPr>
        <w:spacing w:before="1"/>
        <w:ind w:left="116" w:right="0" w:firstLine="0"/>
        <w:jc w:val="left"/>
        <w:rPr>
          <w:b/>
          <w:sz w:val="24"/>
        </w:rPr>
      </w:pPr>
      <w:r>
        <w:rPr>
          <w:b/>
          <w:sz w:val="24"/>
        </w:rPr>
        <w:t>Señor</w:t>
      </w:r>
    </w:p>
    <w:p>
      <w:pPr>
        <w:spacing w:before="0"/>
        <w:ind w:left="116" w:right="4778" w:firstLine="0"/>
        <w:jc w:val="left"/>
        <w:rPr>
          <w:b/>
          <w:sz w:val="24"/>
        </w:rPr>
      </w:pPr>
      <w:r>
        <w:rPr>
          <w:b/>
          <w:sz w:val="24"/>
        </w:rPr>
        <w:t>MBA. Miguel Ovares Chavarría, Jefe interino Departamento de Proveeduría</w:t>
      </w:r>
    </w:p>
    <w:p>
      <w:pPr>
        <w:pStyle w:val="BodyText"/>
        <w:spacing w:before="11"/>
        <w:rPr>
          <w:b/>
          <w:sz w:val="23"/>
        </w:rPr>
      </w:pPr>
    </w:p>
    <w:p>
      <w:pPr>
        <w:spacing w:before="0"/>
        <w:ind w:left="116" w:right="0" w:firstLine="0"/>
        <w:jc w:val="left"/>
        <w:rPr>
          <w:b/>
          <w:sz w:val="24"/>
        </w:rPr>
      </w:pPr>
      <w:r>
        <w:rPr>
          <w:b/>
          <w:sz w:val="24"/>
        </w:rPr>
        <w:t>Estimado señor:</w:t>
      </w:r>
    </w:p>
    <w:p>
      <w:pPr>
        <w:pStyle w:val="BodyText"/>
        <w:rPr>
          <w:b/>
          <w:sz w:val="26"/>
        </w:rPr>
      </w:pPr>
    </w:p>
    <w:p>
      <w:pPr>
        <w:pStyle w:val="BodyText"/>
        <w:spacing w:before="1"/>
        <w:rPr>
          <w:b/>
          <w:sz w:val="22"/>
        </w:rPr>
      </w:pPr>
    </w:p>
    <w:p>
      <w:pPr>
        <w:pStyle w:val="BodyText"/>
        <w:ind w:left="116" w:right="113" w:firstLine="707"/>
        <w:jc w:val="both"/>
      </w:pPr>
      <w:r>
        <w:rPr/>
        <w:t>Para su estimable conocimiento y fines consiguientes, le transcribo el acuerdo tomado por el Consejo Superior del Poder Judicial, en sesión </w:t>
      </w:r>
      <w:r>
        <w:rPr>
          <w:b/>
        </w:rPr>
        <w:t>N° 23-2020 </w:t>
      </w:r>
      <w:r>
        <w:rPr/>
        <w:t>celebrada el </w:t>
      </w:r>
      <w:r>
        <w:rPr>
          <w:b/>
        </w:rPr>
        <w:t>17 de marzo de 2020, </w:t>
      </w:r>
      <w:r>
        <w:rPr/>
        <w:t>que literalmente dice:</w:t>
      </w:r>
    </w:p>
    <w:p>
      <w:pPr>
        <w:pStyle w:val="BodyText"/>
      </w:pPr>
    </w:p>
    <w:p>
      <w:pPr>
        <w:pStyle w:val="Heading1"/>
        <w:ind w:left="3842" w:right="3843"/>
        <w:jc w:val="center"/>
        <w:rPr>
          <w:u w:val="none"/>
        </w:rPr>
      </w:pPr>
      <w:r>
        <w:rPr>
          <w:b w:val="0"/>
          <w:u w:val="none"/>
        </w:rPr>
        <w:t>“</w:t>
      </w:r>
      <w:r>
        <w:rPr>
          <w:u w:val="thick"/>
        </w:rPr>
        <w:t>ARTÍCULO VIII</w:t>
      </w:r>
    </w:p>
    <w:p>
      <w:pPr>
        <w:pStyle w:val="BodyText"/>
        <w:spacing w:before="2"/>
        <w:rPr>
          <w:b/>
          <w:sz w:val="16"/>
        </w:rPr>
      </w:pPr>
    </w:p>
    <w:p>
      <w:pPr>
        <w:spacing w:before="90"/>
        <w:ind w:left="116" w:right="0" w:firstLine="0"/>
        <w:jc w:val="left"/>
        <w:rPr>
          <w:b/>
          <w:sz w:val="24"/>
        </w:rPr>
      </w:pPr>
      <w:r>
        <w:rPr>
          <w:b/>
          <w:sz w:val="24"/>
        </w:rPr>
        <w:t>DOCUMENTO N° 2798-20</w:t>
      </w:r>
    </w:p>
    <w:p>
      <w:pPr>
        <w:pStyle w:val="BodyText"/>
        <w:rPr>
          <w:b/>
        </w:rPr>
      </w:pPr>
    </w:p>
    <w:p>
      <w:pPr>
        <w:pStyle w:val="BodyText"/>
        <w:ind w:left="116" w:firstLine="707"/>
      </w:pPr>
      <w:r>
        <w:rPr/>
        <w:t>El master Miguel Ovares Chavarría, Jefe interino del Departamento de Proveeduría, en oficio Nº 832-DP/27-2020 del 05 de marzo del 2020, presentó la siguiente gestión:</w:t>
      </w:r>
    </w:p>
    <w:p>
      <w:pPr>
        <w:pStyle w:val="BodyText"/>
      </w:pPr>
    </w:p>
    <w:p>
      <w:pPr>
        <w:spacing w:before="0"/>
        <w:ind w:left="968" w:right="965" w:firstLine="708"/>
        <w:jc w:val="both"/>
        <w:rPr>
          <w:sz w:val="24"/>
        </w:rPr>
      </w:pPr>
      <w:r>
        <w:rPr>
          <w:sz w:val="24"/>
        </w:rPr>
        <w:t>“En relación con la Licitación Abreviada N° 2019LA-000042-PROV </w:t>
      </w:r>
      <w:r>
        <w:rPr>
          <w:b/>
          <w:sz w:val="24"/>
        </w:rPr>
        <w:t>correspondiente a la “Sustitución de Cubierta de Techo del Edificio de Ciencias</w:t>
      </w:r>
      <w:r>
        <w:rPr>
          <w:b/>
          <w:spacing w:val="-9"/>
          <w:sz w:val="24"/>
        </w:rPr>
        <w:t> </w:t>
      </w:r>
      <w:r>
        <w:rPr>
          <w:b/>
          <w:sz w:val="24"/>
        </w:rPr>
        <w:t>Forenses”,</w:t>
      </w:r>
      <w:r>
        <w:rPr>
          <w:b/>
          <w:spacing w:val="-7"/>
          <w:sz w:val="24"/>
        </w:rPr>
        <w:t> </w:t>
      </w:r>
      <w:r>
        <w:rPr>
          <w:sz w:val="24"/>
        </w:rPr>
        <w:t>se</w:t>
      </w:r>
      <w:r>
        <w:rPr>
          <w:spacing w:val="-10"/>
          <w:sz w:val="24"/>
        </w:rPr>
        <w:t> </w:t>
      </w:r>
      <w:r>
        <w:rPr>
          <w:sz w:val="24"/>
        </w:rPr>
        <w:t>remite</w:t>
      </w:r>
      <w:r>
        <w:rPr>
          <w:spacing w:val="-9"/>
          <w:sz w:val="24"/>
        </w:rPr>
        <w:t> </w:t>
      </w:r>
      <w:r>
        <w:rPr>
          <w:sz w:val="24"/>
        </w:rPr>
        <w:t>a</w:t>
      </w:r>
      <w:r>
        <w:rPr>
          <w:spacing w:val="-11"/>
          <w:sz w:val="24"/>
        </w:rPr>
        <w:t> </w:t>
      </w:r>
      <w:r>
        <w:rPr>
          <w:sz w:val="24"/>
        </w:rPr>
        <w:t>usted</w:t>
      </w:r>
      <w:r>
        <w:rPr>
          <w:spacing w:val="-9"/>
          <w:sz w:val="24"/>
        </w:rPr>
        <w:t> </w:t>
      </w:r>
      <w:r>
        <w:rPr>
          <w:sz w:val="24"/>
        </w:rPr>
        <w:t>la</w:t>
      </w:r>
      <w:r>
        <w:rPr>
          <w:spacing w:val="-10"/>
          <w:sz w:val="24"/>
        </w:rPr>
        <w:t> </w:t>
      </w:r>
      <w:r>
        <w:rPr>
          <w:sz w:val="24"/>
        </w:rPr>
        <w:t>documentación</w:t>
      </w:r>
      <w:r>
        <w:rPr>
          <w:spacing w:val="-8"/>
          <w:sz w:val="24"/>
        </w:rPr>
        <w:t> </w:t>
      </w:r>
      <w:r>
        <w:rPr>
          <w:sz w:val="24"/>
        </w:rPr>
        <w:t>adjunta,</w:t>
      </w:r>
      <w:r>
        <w:rPr>
          <w:spacing w:val="-10"/>
          <w:sz w:val="24"/>
        </w:rPr>
        <w:t> </w:t>
      </w:r>
      <w:r>
        <w:rPr>
          <w:sz w:val="24"/>
        </w:rPr>
        <w:t>con</w:t>
      </w:r>
      <w:r>
        <w:rPr>
          <w:spacing w:val="-9"/>
          <w:sz w:val="24"/>
        </w:rPr>
        <w:t> </w:t>
      </w:r>
      <w:r>
        <w:rPr>
          <w:sz w:val="24"/>
        </w:rPr>
        <w:t>el</w:t>
      </w:r>
      <w:r>
        <w:rPr>
          <w:spacing w:val="-9"/>
          <w:sz w:val="24"/>
        </w:rPr>
        <w:t> </w:t>
      </w:r>
      <w:r>
        <w:rPr>
          <w:sz w:val="24"/>
        </w:rPr>
        <w:t>ruego</w:t>
      </w:r>
      <w:r>
        <w:rPr>
          <w:spacing w:val="-9"/>
          <w:sz w:val="24"/>
        </w:rPr>
        <w:t> </w:t>
      </w:r>
      <w:r>
        <w:rPr>
          <w:sz w:val="24"/>
        </w:rPr>
        <w:t>de que sea sometida a conocimiento de los miembros del Consejo Superior para lo que consideren conveniente</w:t>
      </w:r>
      <w:r>
        <w:rPr>
          <w:spacing w:val="-2"/>
          <w:sz w:val="24"/>
        </w:rPr>
        <w:t> </w:t>
      </w:r>
      <w:r>
        <w:rPr>
          <w:sz w:val="24"/>
        </w:rPr>
        <w:t>resolver.</w:t>
      </w:r>
    </w:p>
    <w:p>
      <w:pPr>
        <w:pStyle w:val="BodyText"/>
      </w:pPr>
    </w:p>
    <w:p>
      <w:pPr>
        <w:pStyle w:val="BodyText"/>
        <w:spacing w:before="1"/>
        <w:ind w:left="968" w:right="971" w:firstLine="708"/>
        <w:jc w:val="both"/>
      </w:pPr>
      <w:r>
        <w:rPr/>
        <w:t>El plazo dispuesto inicialmente para adjudicar de conformidad con el artículo 87 del Reglamento a la Ley de Contratación Administrativa, la cláusula</w:t>
      </w:r>
    </w:p>
    <w:p>
      <w:pPr>
        <w:pStyle w:val="BodyText"/>
        <w:ind w:left="968" w:right="970"/>
        <w:jc w:val="both"/>
      </w:pPr>
      <w:r>
        <w:rPr/>
        <w:t>2.1.40 del cartel, y la resolución N° 13-LIC-2020 de las siete horas y cuarenta y dos minutos del cinco de marzo del dos mil veinte, quedó definido para el 12 de mayo del 2020.-</w:t>
      </w:r>
    </w:p>
    <w:p>
      <w:pPr>
        <w:pStyle w:val="BodyText"/>
      </w:pPr>
    </w:p>
    <w:p>
      <w:pPr>
        <w:pStyle w:val="BodyText"/>
        <w:ind w:left="968" w:right="969" w:firstLine="708"/>
        <w:jc w:val="both"/>
      </w:pPr>
      <w:r>
        <w:rPr/>
        <w:t>Conforme lo disponen los artículos 45 de la Ley de Contratación Administrativa y 87 del Reglamento a la Ley de Contratación Administrativa,</w:t>
      </w:r>
      <w:r>
        <w:rPr>
          <w:spacing w:val="-42"/>
        </w:rPr>
        <w:t> </w:t>
      </w:r>
      <w:r>
        <w:rPr/>
        <w:t>se determina</w:t>
      </w:r>
      <w:r>
        <w:rPr>
          <w:spacing w:val="-2"/>
        </w:rPr>
        <w:t> </w:t>
      </w:r>
      <w:r>
        <w:rPr/>
        <w:t>que:</w:t>
      </w:r>
    </w:p>
    <w:p>
      <w:pPr>
        <w:pStyle w:val="BodyText"/>
      </w:pPr>
    </w:p>
    <w:p>
      <w:pPr>
        <w:pStyle w:val="Heading1"/>
        <w:rPr>
          <w:u w:val="none"/>
        </w:rPr>
      </w:pPr>
      <w:r>
        <w:rPr>
          <w:u w:val="thick"/>
        </w:rPr>
        <w:t>PARTICIPANTE:</w:t>
      </w:r>
    </w:p>
    <w:p>
      <w:pPr>
        <w:pStyle w:val="BodyText"/>
        <w:spacing w:before="2"/>
        <w:rPr>
          <w:b/>
          <w:sz w:val="16"/>
        </w:rPr>
      </w:pPr>
    </w:p>
    <w:p>
      <w:pPr>
        <w:pStyle w:val="BodyText"/>
        <w:spacing w:before="90"/>
        <w:ind w:left="1676"/>
      </w:pPr>
      <w:r>
        <w:rPr/>
        <w:t>Para este concurso, se recibió la siguiente oferta:</w:t>
      </w:r>
    </w:p>
    <w:p>
      <w:pPr>
        <w:spacing w:after="0"/>
        <w:sectPr>
          <w:headerReference w:type="default" r:id="rId5"/>
          <w:footerReference w:type="default" r:id="rId6"/>
          <w:type w:val="continuous"/>
          <w:pgSz w:w="12240" w:h="15840"/>
          <w:pgMar w:header="853" w:footer="1850" w:top="1960" w:bottom="2040" w:left="1300" w:right="1300"/>
          <w:pgNumType w:start="1"/>
        </w:sectPr>
      </w:pPr>
    </w:p>
    <w:p>
      <w:pPr>
        <w:pStyle w:val="BodyText"/>
        <w:rPr>
          <w:sz w:val="20"/>
        </w:rPr>
      </w:pPr>
    </w:p>
    <w:p>
      <w:pPr>
        <w:pStyle w:val="BodyText"/>
        <w:rPr>
          <w:sz w:val="20"/>
        </w:rPr>
      </w:pPr>
    </w:p>
    <w:p>
      <w:pPr>
        <w:spacing w:before="219"/>
        <w:ind w:left="968" w:right="965" w:firstLine="708"/>
        <w:jc w:val="both"/>
        <w:rPr>
          <w:sz w:val="24"/>
        </w:rPr>
      </w:pPr>
      <w:r>
        <w:rPr>
          <w:b/>
          <w:sz w:val="24"/>
        </w:rPr>
        <w:t>N° 1</w:t>
      </w:r>
      <w:r>
        <w:rPr>
          <w:sz w:val="24"/>
        </w:rPr>
        <w:t>. </w:t>
      </w:r>
      <w:r>
        <w:rPr>
          <w:b/>
          <w:sz w:val="24"/>
        </w:rPr>
        <w:t>Consorcio integrado por la empresa Polyacril de Centro América S. A.</w:t>
      </w:r>
      <w:r>
        <w:rPr>
          <w:sz w:val="24"/>
        </w:rPr>
        <w:t>, cédula jurídica 3-101-337859 </w:t>
      </w:r>
      <w:r>
        <w:rPr>
          <w:b/>
          <w:sz w:val="24"/>
        </w:rPr>
        <w:t>y la empresa Servicios de Mantenimiento Cubero S. A., </w:t>
      </w:r>
      <w:r>
        <w:rPr>
          <w:sz w:val="24"/>
        </w:rPr>
        <w:t>cédula jurídica 3-101-102980.</w:t>
      </w:r>
    </w:p>
    <w:p>
      <w:pPr>
        <w:pStyle w:val="BodyText"/>
      </w:pPr>
    </w:p>
    <w:p>
      <w:pPr>
        <w:pStyle w:val="Heading1"/>
        <w:rPr>
          <w:u w:val="none"/>
        </w:rPr>
      </w:pPr>
      <w:r>
        <w:rPr>
          <w:u w:val="thick"/>
        </w:rPr>
        <w:t>ANÁLISIS DE LA OFERTA:</w:t>
      </w:r>
    </w:p>
    <w:p>
      <w:pPr>
        <w:pStyle w:val="BodyText"/>
        <w:spacing w:before="2"/>
        <w:rPr>
          <w:b/>
          <w:sz w:val="16"/>
        </w:rPr>
      </w:pPr>
    </w:p>
    <w:p>
      <w:pPr>
        <w:pStyle w:val="BodyText"/>
        <w:spacing w:before="90"/>
        <w:ind w:left="968" w:right="967" w:firstLine="708"/>
        <w:jc w:val="both"/>
      </w:pPr>
      <w:r>
        <w:rPr/>
        <w:t>Mediante los oficios N° 29-DP/58-2020 de fecha 07 de enero del 2020, visible a folio 354, y N° 30-DP/58-2020 de fecha 07 de enero del 2020, visible</w:t>
      </w:r>
      <w:r>
        <w:rPr>
          <w:spacing w:val="-41"/>
        </w:rPr>
        <w:t> </w:t>
      </w:r>
      <w:r>
        <w:rPr/>
        <w:t>a folio 356, se le solicitó a la Sección de Arquitectura e Ingeniería del Departamento</w:t>
      </w:r>
      <w:r>
        <w:rPr>
          <w:spacing w:val="-16"/>
        </w:rPr>
        <w:t> </w:t>
      </w:r>
      <w:r>
        <w:rPr/>
        <w:t>de</w:t>
      </w:r>
      <w:r>
        <w:rPr>
          <w:spacing w:val="-15"/>
        </w:rPr>
        <w:t> </w:t>
      </w:r>
      <w:r>
        <w:rPr/>
        <w:t>Servicios</w:t>
      </w:r>
      <w:r>
        <w:rPr>
          <w:spacing w:val="-16"/>
        </w:rPr>
        <w:t> </w:t>
      </w:r>
      <w:r>
        <w:rPr/>
        <w:t>Generales,</w:t>
      </w:r>
      <w:r>
        <w:rPr>
          <w:spacing w:val="-13"/>
        </w:rPr>
        <w:t> </w:t>
      </w:r>
      <w:r>
        <w:rPr/>
        <w:t>y</w:t>
      </w:r>
      <w:r>
        <w:rPr>
          <w:spacing w:val="-16"/>
        </w:rPr>
        <w:t> </w:t>
      </w:r>
      <w:r>
        <w:rPr/>
        <w:t>a</w:t>
      </w:r>
      <w:r>
        <w:rPr>
          <w:spacing w:val="-16"/>
        </w:rPr>
        <w:t> </w:t>
      </w:r>
      <w:r>
        <w:rPr/>
        <w:t>la</w:t>
      </w:r>
      <w:r>
        <w:rPr>
          <w:spacing w:val="-14"/>
        </w:rPr>
        <w:t> </w:t>
      </w:r>
      <w:r>
        <w:rPr/>
        <w:t>Dirección</w:t>
      </w:r>
      <w:r>
        <w:rPr>
          <w:spacing w:val="-15"/>
        </w:rPr>
        <w:t> </w:t>
      </w:r>
      <w:r>
        <w:rPr/>
        <w:t>Jurídica,</w:t>
      </w:r>
      <w:r>
        <w:rPr>
          <w:spacing w:val="-14"/>
        </w:rPr>
        <w:t> </w:t>
      </w:r>
      <w:r>
        <w:rPr/>
        <w:t>respectivamente, el análisis técnico y legal de las ofertas</w:t>
      </w:r>
      <w:r>
        <w:rPr>
          <w:spacing w:val="-1"/>
        </w:rPr>
        <w:t> </w:t>
      </w:r>
      <w:r>
        <w:rPr/>
        <w:t>presentadas.</w:t>
      </w:r>
    </w:p>
    <w:p>
      <w:pPr>
        <w:pStyle w:val="BodyText"/>
        <w:spacing w:before="1"/>
      </w:pPr>
    </w:p>
    <w:p>
      <w:pPr>
        <w:pStyle w:val="Heading1"/>
        <w:rPr>
          <w:u w:val="none"/>
        </w:rPr>
      </w:pPr>
      <w:r>
        <w:rPr>
          <w:u w:val="thick"/>
        </w:rPr>
        <w:t>ANÁLISIS LEGAL:</w:t>
      </w:r>
    </w:p>
    <w:p>
      <w:pPr>
        <w:pStyle w:val="BodyText"/>
        <w:spacing w:before="2"/>
        <w:rPr>
          <w:b/>
          <w:sz w:val="16"/>
        </w:rPr>
      </w:pPr>
    </w:p>
    <w:p>
      <w:pPr>
        <w:pStyle w:val="BodyText"/>
        <w:spacing w:before="90"/>
        <w:ind w:left="968" w:right="964" w:firstLine="708"/>
        <w:jc w:val="both"/>
      </w:pPr>
      <w:r>
        <w:rPr/>
        <w:t>Con el oficio N° 12-DJ/CAD-2020, recibido el 15 de enero del 2020, visible a folios 365 al 366, el Lic. Jaime Sobalvarro Mojica, Asesor Jurídico y</w:t>
      </w:r>
      <w:r>
        <w:rPr>
          <w:spacing w:val="-35"/>
        </w:rPr>
        <w:t> </w:t>
      </w:r>
      <w:r>
        <w:rPr/>
        <w:t>la Licda.</w:t>
      </w:r>
      <w:r>
        <w:rPr>
          <w:spacing w:val="-9"/>
        </w:rPr>
        <w:t> </w:t>
      </w:r>
      <w:r>
        <w:rPr/>
        <w:t>Ana</w:t>
      </w:r>
      <w:r>
        <w:rPr>
          <w:spacing w:val="-7"/>
        </w:rPr>
        <w:t> </w:t>
      </w:r>
      <w:r>
        <w:rPr/>
        <w:t>Patricia</w:t>
      </w:r>
      <w:r>
        <w:rPr>
          <w:spacing w:val="-9"/>
        </w:rPr>
        <w:t> </w:t>
      </w:r>
      <w:r>
        <w:rPr/>
        <w:t>Álvarez</w:t>
      </w:r>
      <w:r>
        <w:rPr>
          <w:spacing w:val="-9"/>
        </w:rPr>
        <w:t> </w:t>
      </w:r>
      <w:r>
        <w:rPr/>
        <w:t>Mondragón,</w:t>
      </w:r>
      <w:r>
        <w:rPr>
          <w:spacing w:val="-8"/>
        </w:rPr>
        <w:t> </w:t>
      </w:r>
      <w:r>
        <w:rPr/>
        <w:t>Coordinadora</w:t>
      </w:r>
      <w:r>
        <w:rPr>
          <w:spacing w:val="-10"/>
        </w:rPr>
        <w:t> </w:t>
      </w:r>
      <w:r>
        <w:rPr/>
        <w:t>del</w:t>
      </w:r>
      <w:r>
        <w:rPr>
          <w:spacing w:val="-7"/>
        </w:rPr>
        <w:t> </w:t>
      </w:r>
      <w:r>
        <w:rPr/>
        <w:t>Área</w:t>
      </w:r>
      <w:r>
        <w:rPr>
          <w:spacing w:val="-9"/>
        </w:rPr>
        <w:t> </w:t>
      </w:r>
      <w:r>
        <w:rPr/>
        <w:t>de</w:t>
      </w:r>
      <w:r>
        <w:rPr>
          <w:spacing w:val="-10"/>
        </w:rPr>
        <w:t> </w:t>
      </w:r>
      <w:r>
        <w:rPr/>
        <w:t>Contratación Administrativa, con el visto bueno de la Msc. Argili Gómez Siu. Subdirectora Jurídica,</w:t>
      </w:r>
      <w:r>
        <w:rPr>
          <w:spacing w:val="-7"/>
        </w:rPr>
        <w:t> </w:t>
      </w:r>
      <w:r>
        <w:rPr/>
        <w:t>emitieron</w:t>
      </w:r>
      <w:r>
        <w:rPr>
          <w:spacing w:val="-7"/>
        </w:rPr>
        <w:t> </w:t>
      </w:r>
      <w:r>
        <w:rPr/>
        <w:t>el</w:t>
      </w:r>
      <w:r>
        <w:rPr>
          <w:spacing w:val="-7"/>
        </w:rPr>
        <w:t> </w:t>
      </w:r>
      <w:r>
        <w:rPr/>
        <w:t>respectivo</w:t>
      </w:r>
      <w:r>
        <w:rPr>
          <w:spacing w:val="-6"/>
        </w:rPr>
        <w:t> </w:t>
      </w:r>
      <w:r>
        <w:rPr/>
        <w:t>estudio</w:t>
      </w:r>
      <w:r>
        <w:rPr>
          <w:spacing w:val="-7"/>
        </w:rPr>
        <w:t> </w:t>
      </w:r>
      <w:r>
        <w:rPr/>
        <w:t>legal</w:t>
      </w:r>
      <w:r>
        <w:rPr>
          <w:spacing w:val="-6"/>
        </w:rPr>
        <w:t> </w:t>
      </w:r>
      <w:r>
        <w:rPr/>
        <w:t>de</w:t>
      </w:r>
      <w:r>
        <w:rPr>
          <w:spacing w:val="-7"/>
        </w:rPr>
        <w:t> </w:t>
      </w:r>
      <w:r>
        <w:rPr/>
        <w:t>las</w:t>
      </w:r>
      <w:r>
        <w:rPr>
          <w:spacing w:val="-7"/>
        </w:rPr>
        <w:t> </w:t>
      </w:r>
      <w:r>
        <w:rPr/>
        <w:t>ofertas</w:t>
      </w:r>
      <w:r>
        <w:rPr>
          <w:spacing w:val="-6"/>
        </w:rPr>
        <w:t> </w:t>
      </w:r>
      <w:r>
        <w:rPr/>
        <w:t>recibidas</w:t>
      </w:r>
      <w:r>
        <w:rPr>
          <w:spacing w:val="-7"/>
        </w:rPr>
        <w:t> </w:t>
      </w:r>
      <w:r>
        <w:rPr/>
        <w:t>a</w:t>
      </w:r>
      <w:r>
        <w:rPr>
          <w:spacing w:val="-7"/>
        </w:rPr>
        <w:t> </w:t>
      </w:r>
      <w:r>
        <w:rPr/>
        <w:t>concurso, mediante el cual solicitan realizar varias prevenciones, las cuales serán analizadas en el apartado de “Análisis y</w:t>
      </w:r>
      <w:r>
        <w:rPr>
          <w:spacing w:val="-3"/>
        </w:rPr>
        <w:t> </w:t>
      </w:r>
      <w:r>
        <w:rPr/>
        <w:t>Valoración”.</w:t>
      </w:r>
    </w:p>
    <w:p>
      <w:pPr>
        <w:pStyle w:val="BodyText"/>
      </w:pPr>
    </w:p>
    <w:p>
      <w:pPr>
        <w:pStyle w:val="Heading1"/>
        <w:rPr>
          <w:u w:val="none"/>
        </w:rPr>
      </w:pPr>
      <w:r>
        <w:rPr>
          <w:u w:val="thick"/>
        </w:rPr>
        <w:t>ANÁLISIS TÉCNICO:</w:t>
      </w:r>
    </w:p>
    <w:p>
      <w:pPr>
        <w:pStyle w:val="BodyText"/>
        <w:spacing w:before="3"/>
        <w:rPr>
          <w:b/>
          <w:sz w:val="16"/>
        </w:rPr>
      </w:pPr>
    </w:p>
    <w:p>
      <w:pPr>
        <w:pStyle w:val="BodyText"/>
        <w:spacing w:before="90"/>
        <w:ind w:left="968" w:right="972" w:firstLine="708"/>
        <w:jc w:val="both"/>
      </w:pPr>
      <w:r>
        <w:rPr/>
        <w:t>Mediante correo electrónico de fecha 26 de febrero del 2020, visible a folios 477 al 480, la Arq. Laura Araya Blanco, de la Sección de Arquitectura e Ingeniería del Departamento de Servicios Generales, remite el informe técnico de la oferta recibida a concurso, en el cual en lo que interesa indicó:</w:t>
      </w:r>
    </w:p>
    <w:p>
      <w:pPr>
        <w:pStyle w:val="BodyText"/>
        <w:spacing w:before="11"/>
        <w:rPr>
          <w:sz w:val="23"/>
        </w:rPr>
      </w:pPr>
    </w:p>
    <w:p>
      <w:pPr>
        <w:spacing w:before="0"/>
        <w:ind w:left="1676" w:right="0" w:firstLine="0"/>
        <w:jc w:val="left"/>
        <w:rPr>
          <w:i/>
          <w:sz w:val="24"/>
        </w:rPr>
      </w:pPr>
      <w:r>
        <w:rPr>
          <w:i/>
          <w:sz w:val="24"/>
        </w:rPr>
        <w:t>“(…)</w:t>
      </w:r>
    </w:p>
    <w:p>
      <w:pPr>
        <w:pStyle w:val="BodyText"/>
        <w:rPr>
          <w:i/>
        </w:rPr>
      </w:pPr>
    </w:p>
    <w:p>
      <w:pPr>
        <w:spacing w:before="0"/>
        <w:ind w:left="968" w:right="968" w:firstLine="708"/>
        <w:jc w:val="both"/>
        <w:rPr>
          <w:i/>
          <w:sz w:val="24"/>
        </w:rPr>
      </w:pPr>
      <w:r>
        <w:rPr>
          <w:i/>
          <w:sz w:val="24"/>
        </w:rPr>
        <w:t>Comparando la lámina ofertada contra la lámina especificada, se </w:t>
      </w:r>
      <w:r>
        <w:rPr>
          <w:i/>
          <w:sz w:val="24"/>
        </w:rPr>
        <w:t>demuestra</w:t>
      </w:r>
      <w:r>
        <w:rPr>
          <w:i/>
          <w:spacing w:val="-16"/>
          <w:sz w:val="24"/>
        </w:rPr>
        <w:t> </w:t>
      </w:r>
      <w:r>
        <w:rPr>
          <w:i/>
          <w:sz w:val="24"/>
        </w:rPr>
        <w:t>que</w:t>
      </w:r>
      <w:r>
        <w:rPr>
          <w:i/>
          <w:spacing w:val="-14"/>
          <w:sz w:val="24"/>
        </w:rPr>
        <w:t> </w:t>
      </w:r>
      <w:r>
        <w:rPr>
          <w:i/>
          <w:sz w:val="24"/>
        </w:rPr>
        <w:t>el</w:t>
      </w:r>
      <w:r>
        <w:rPr>
          <w:i/>
          <w:spacing w:val="-13"/>
          <w:sz w:val="24"/>
        </w:rPr>
        <w:t> </w:t>
      </w:r>
      <w:r>
        <w:rPr>
          <w:i/>
          <w:sz w:val="24"/>
        </w:rPr>
        <w:t>modelo</w:t>
      </w:r>
      <w:r>
        <w:rPr>
          <w:i/>
          <w:spacing w:val="-12"/>
          <w:sz w:val="24"/>
        </w:rPr>
        <w:t> </w:t>
      </w:r>
      <w:r>
        <w:rPr>
          <w:i/>
          <w:sz w:val="24"/>
        </w:rPr>
        <w:t>de</w:t>
      </w:r>
      <w:r>
        <w:rPr>
          <w:i/>
          <w:spacing w:val="-16"/>
          <w:sz w:val="24"/>
        </w:rPr>
        <w:t> </w:t>
      </w:r>
      <w:r>
        <w:rPr>
          <w:i/>
          <w:sz w:val="24"/>
        </w:rPr>
        <w:t>lámina</w:t>
      </w:r>
      <w:r>
        <w:rPr>
          <w:i/>
          <w:spacing w:val="-15"/>
          <w:sz w:val="24"/>
        </w:rPr>
        <w:t> </w:t>
      </w:r>
      <w:r>
        <w:rPr>
          <w:i/>
          <w:sz w:val="24"/>
        </w:rPr>
        <w:t>ofertada</w:t>
      </w:r>
      <w:r>
        <w:rPr>
          <w:i/>
          <w:spacing w:val="-15"/>
          <w:sz w:val="24"/>
        </w:rPr>
        <w:t> </w:t>
      </w:r>
      <w:r>
        <w:rPr>
          <w:i/>
          <w:sz w:val="24"/>
        </w:rPr>
        <w:t>no</w:t>
      </w:r>
      <w:r>
        <w:rPr>
          <w:i/>
          <w:spacing w:val="-13"/>
          <w:sz w:val="24"/>
        </w:rPr>
        <w:t> </w:t>
      </w:r>
      <w:r>
        <w:rPr>
          <w:i/>
          <w:sz w:val="24"/>
        </w:rPr>
        <w:t>es</w:t>
      </w:r>
      <w:r>
        <w:rPr>
          <w:i/>
          <w:spacing w:val="-16"/>
          <w:sz w:val="24"/>
        </w:rPr>
        <w:t> </w:t>
      </w:r>
      <w:r>
        <w:rPr>
          <w:i/>
          <w:sz w:val="24"/>
        </w:rPr>
        <w:t>igual</w:t>
      </w:r>
      <w:r>
        <w:rPr>
          <w:i/>
          <w:spacing w:val="-14"/>
          <w:sz w:val="24"/>
        </w:rPr>
        <w:t> </w:t>
      </w:r>
      <w:r>
        <w:rPr>
          <w:i/>
          <w:sz w:val="24"/>
        </w:rPr>
        <w:t>o</w:t>
      </w:r>
      <w:r>
        <w:rPr>
          <w:i/>
          <w:spacing w:val="-16"/>
          <w:sz w:val="24"/>
        </w:rPr>
        <w:t> </w:t>
      </w:r>
      <w:r>
        <w:rPr>
          <w:i/>
          <w:sz w:val="24"/>
        </w:rPr>
        <w:t>superior</w:t>
      </w:r>
      <w:r>
        <w:rPr>
          <w:i/>
          <w:spacing w:val="-14"/>
          <w:sz w:val="24"/>
        </w:rPr>
        <w:t> </w:t>
      </w:r>
      <w:r>
        <w:rPr>
          <w:i/>
          <w:sz w:val="24"/>
        </w:rPr>
        <w:t>a</w:t>
      </w:r>
      <w:r>
        <w:rPr>
          <w:i/>
          <w:spacing w:val="-15"/>
          <w:sz w:val="24"/>
        </w:rPr>
        <w:t> </w:t>
      </w:r>
      <w:r>
        <w:rPr>
          <w:i/>
          <w:sz w:val="24"/>
        </w:rPr>
        <w:t>lo</w:t>
      </w:r>
      <w:r>
        <w:rPr>
          <w:i/>
          <w:spacing w:val="-15"/>
          <w:sz w:val="24"/>
        </w:rPr>
        <w:t> </w:t>
      </w:r>
      <w:r>
        <w:rPr>
          <w:i/>
          <w:sz w:val="24"/>
        </w:rPr>
        <w:t>solicitado en el cartel, por lo que, no cumple técnicamente con los requisitos técnicos especificados.</w:t>
      </w:r>
    </w:p>
    <w:p>
      <w:pPr>
        <w:pStyle w:val="BodyText"/>
        <w:spacing w:before="1"/>
        <w:rPr>
          <w:i/>
        </w:rPr>
      </w:pPr>
    </w:p>
    <w:p>
      <w:pPr>
        <w:spacing w:before="0"/>
        <w:ind w:left="1676" w:right="0" w:firstLine="0"/>
        <w:jc w:val="left"/>
        <w:rPr>
          <w:i/>
          <w:sz w:val="24"/>
        </w:rPr>
      </w:pPr>
      <w:r>
        <w:rPr>
          <w:i/>
          <w:sz w:val="24"/>
        </w:rPr>
        <w:t>(…)</w:t>
      </w:r>
    </w:p>
    <w:p>
      <w:pPr>
        <w:pStyle w:val="BodyText"/>
        <w:rPr>
          <w:i/>
        </w:rPr>
      </w:pPr>
    </w:p>
    <w:p>
      <w:pPr>
        <w:spacing w:before="0"/>
        <w:ind w:left="968" w:right="969" w:firstLine="708"/>
        <w:jc w:val="both"/>
        <w:rPr>
          <w:i/>
          <w:sz w:val="24"/>
        </w:rPr>
      </w:pPr>
      <w:r>
        <w:rPr>
          <w:i/>
          <w:sz w:val="24"/>
        </w:rPr>
        <w:t>El oferente no cumple técnicamente con los requisitos especificados del </w:t>
      </w:r>
      <w:r>
        <w:rPr>
          <w:i/>
          <w:sz w:val="24"/>
        </w:rPr>
        <w:t>modelo de lámina de cubierta…”</w:t>
      </w:r>
    </w:p>
    <w:p>
      <w:pPr>
        <w:spacing w:after="0"/>
        <w:jc w:val="both"/>
        <w:rPr>
          <w:sz w:val="24"/>
        </w:rPr>
        <w:sectPr>
          <w:pgSz w:w="12240" w:h="15840"/>
          <w:pgMar w:header="853" w:footer="1850" w:top="1960" w:bottom="2040" w:left="1300" w:right="1300"/>
        </w:sectPr>
      </w:pPr>
    </w:p>
    <w:p>
      <w:pPr>
        <w:pStyle w:val="BodyText"/>
        <w:rPr>
          <w:i/>
          <w:sz w:val="20"/>
        </w:rPr>
      </w:pPr>
    </w:p>
    <w:p>
      <w:pPr>
        <w:pStyle w:val="BodyText"/>
        <w:rPr>
          <w:i/>
          <w:sz w:val="20"/>
        </w:rPr>
      </w:pPr>
    </w:p>
    <w:p>
      <w:pPr>
        <w:pStyle w:val="Heading1"/>
        <w:spacing w:before="219"/>
        <w:rPr>
          <w:u w:val="none"/>
        </w:rPr>
      </w:pPr>
      <w:r>
        <w:rPr>
          <w:u w:val="thick"/>
        </w:rPr>
        <w:t>PREVENCIONES:</w:t>
      </w:r>
    </w:p>
    <w:p>
      <w:pPr>
        <w:pStyle w:val="BodyText"/>
        <w:spacing w:before="2"/>
        <w:rPr>
          <w:b/>
          <w:sz w:val="16"/>
        </w:rPr>
      </w:pPr>
    </w:p>
    <w:p>
      <w:pPr>
        <w:pStyle w:val="BodyText"/>
        <w:spacing w:before="90"/>
        <w:ind w:left="968" w:right="967" w:firstLine="708"/>
        <w:jc w:val="both"/>
      </w:pPr>
      <w:r>
        <w:rPr/>
        <w:t>En cuanto a las prevenciones requeridas por la Dirección Jurídica y las prevenciones iniciales requeridas por el Departamento de Servicios Generales, las mismas fueron realizadas según dichos requerimientos, cuyas respuestas y aspectos</w:t>
      </w:r>
      <w:r>
        <w:rPr>
          <w:spacing w:val="-7"/>
        </w:rPr>
        <w:t> </w:t>
      </w:r>
      <w:r>
        <w:rPr/>
        <w:t>serán</w:t>
      </w:r>
      <w:r>
        <w:rPr>
          <w:spacing w:val="-7"/>
        </w:rPr>
        <w:t> </w:t>
      </w:r>
      <w:r>
        <w:rPr/>
        <w:t>analizados</w:t>
      </w:r>
      <w:r>
        <w:rPr>
          <w:spacing w:val="-5"/>
        </w:rPr>
        <w:t> </w:t>
      </w:r>
      <w:r>
        <w:rPr/>
        <w:t>y</w:t>
      </w:r>
      <w:r>
        <w:rPr>
          <w:spacing w:val="-7"/>
        </w:rPr>
        <w:t> </w:t>
      </w:r>
      <w:r>
        <w:rPr/>
        <w:t>expuestos</w:t>
      </w:r>
      <w:r>
        <w:rPr>
          <w:spacing w:val="-7"/>
        </w:rPr>
        <w:t> </w:t>
      </w:r>
      <w:r>
        <w:rPr/>
        <w:t>en</w:t>
      </w:r>
      <w:r>
        <w:rPr>
          <w:spacing w:val="-7"/>
        </w:rPr>
        <w:t> </w:t>
      </w:r>
      <w:r>
        <w:rPr/>
        <w:t>el</w:t>
      </w:r>
      <w:r>
        <w:rPr>
          <w:spacing w:val="-7"/>
        </w:rPr>
        <w:t> </w:t>
      </w:r>
      <w:r>
        <w:rPr/>
        <w:t>apartado</w:t>
      </w:r>
      <w:r>
        <w:rPr>
          <w:spacing w:val="-6"/>
        </w:rPr>
        <w:t> </w:t>
      </w:r>
      <w:r>
        <w:rPr/>
        <w:t>de</w:t>
      </w:r>
      <w:r>
        <w:rPr>
          <w:spacing w:val="-8"/>
        </w:rPr>
        <w:t> </w:t>
      </w:r>
      <w:r>
        <w:rPr/>
        <w:t>“Análisis</w:t>
      </w:r>
      <w:r>
        <w:rPr>
          <w:spacing w:val="-7"/>
        </w:rPr>
        <w:t> </w:t>
      </w:r>
      <w:r>
        <w:rPr/>
        <w:t>y</w:t>
      </w:r>
      <w:r>
        <w:rPr>
          <w:spacing w:val="-7"/>
        </w:rPr>
        <w:t> </w:t>
      </w:r>
      <w:r>
        <w:rPr/>
        <w:t>Valoración”.</w:t>
      </w:r>
    </w:p>
    <w:p>
      <w:pPr>
        <w:pStyle w:val="BodyText"/>
      </w:pPr>
    </w:p>
    <w:p>
      <w:pPr>
        <w:pStyle w:val="Heading1"/>
        <w:rPr>
          <w:u w:val="none"/>
        </w:rPr>
      </w:pPr>
      <w:r>
        <w:rPr>
          <w:u w:val="thick"/>
        </w:rPr>
        <w:t>ANÁLISIS DE LOS PRECIOS:</w:t>
      </w:r>
    </w:p>
    <w:p>
      <w:pPr>
        <w:pStyle w:val="BodyText"/>
        <w:spacing w:before="3"/>
        <w:rPr>
          <w:b/>
          <w:sz w:val="16"/>
        </w:rPr>
      </w:pPr>
    </w:p>
    <w:p>
      <w:pPr>
        <w:pStyle w:val="BodyText"/>
        <w:spacing w:before="90"/>
        <w:ind w:left="968" w:right="975" w:firstLine="708"/>
        <w:jc w:val="both"/>
      </w:pPr>
      <w:r>
        <w:rPr/>
        <w:t>En cuanto al análisis de la razonabilidad del precio ofertado, primeramente, se muestra el precio propuesto por la empresa participante:</w:t>
      </w:r>
    </w:p>
    <w:p>
      <w:pPr>
        <w:pStyle w:val="BodyText"/>
        <w:spacing w:before="1"/>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65"/>
        <w:gridCol w:w="4979"/>
        <w:gridCol w:w="2845"/>
      </w:tblGrid>
      <w:tr>
        <w:trPr>
          <w:trHeight w:val="277" w:hRule="atLeast"/>
        </w:trPr>
        <w:tc>
          <w:tcPr>
            <w:tcW w:w="1565" w:type="dxa"/>
            <w:shd w:val="clear" w:color="auto" w:fill="99CCFF"/>
          </w:tcPr>
          <w:p>
            <w:pPr>
              <w:pStyle w:val="TableParagraph"/>
              <w:spacing w:line="256" w:lineRule="exact" w:before="1"/>
              <w:rPr>
                <w:b/>
                <w:sz w:val="24"/>
              </w:rPr>
            </w:pPr>
            <w:r>
              <w:rPr>
                <w:b/>
                <w:sz w:val="24"/>
              </w:rPr>
              <w:t>Línea</w:t>
            </w:r>
          </w:p>
        </w:tc>
        <w:tc>
          <w:tcPr>
            <w:tcW w:w="4979" w:type="dxa"/>
            <w:shd w:val="clear" w:color="auto" w:fill="99CCFF"/>
          </w:tcPr>
          <w:p>
            <w:pPr>
              <w:pStyle w:val="TableParagraph"/>
              <w:spacing w:line="256" w:lineRule="exact" w:before="1"/>
              <w:rPr>
                <w:b/>
                <w:sz w:val="24"/>
              </w:rPr>
            </w:pPr>
            <w:r>
              <w:rPr>
                <w:b/>
                <w:sz w:val="24"/>
              </w:rPr>
              <w:t>Actividad</w:t>
            </w:r>
          </w:p>
        </w:tc>
        <w:tc>
          <w:tcPr>
            <w:tcW w:w="2845" w:type="dxa"/>
            <w:shd w:val="clear" w:color="auto" w:fill="99CCFF"/>
          </w:tcPr>
          <w:p>
            <w:pPr>
              <w:pStyle w:val="TableParagraph"/>
              <w:spacing w:line="256" w:lineRule="exact" w:before="1"/>
              <w:rPr>
                <w:b/>
                <w:sz w:val="24"/>
              </w:rPr>
            </w:pPr>
            <w:r>
              <w:rPr>
                <w:b/>
                <w:sz w:val="24"/>
              </w:rPr>
              <w:t>Precio Total</w:t>
            </w:r>
          </w:p>
        </w:tc>
      </w:tr>
      <w:tr>
        <w:trPr>
          <w:trHeight w:val="1103" w:hRule="atLeast"/>
        </w:trPr>
        <w:tc>
          <w:tcPr>
            <w:tcW w:w="1565" w:type="dxa"/>
          </w:tcPr>
          <w:p>
            <w:pPr>
              <w:pStyle w:val="TableParagraph"/>
              <w:spacing w:before="9"/>
              <w:ind w:left="0"/>
              <w:rPr>
                <w:sz w:val="35"/>
              </w:rPr>
            </w:pPr>
          </w:p>
          <w:p>
            <w:pPr>
              <w:pStyle w:val="TableParagraph"/>
              <w:rPr>
                <w:sz w:val="24"/>
              </w:rPr>
            </w:pPr>
            <w:r>
              <w:rPr>
                <w:sz w:val="24"/>
              </w:rPr>
              <w:t>Línea 1</w:t>
            </w:r>
          </w:p>
        </w:tc>
        <w:tc>
          <w:tcPr>
            <w:tcW w:w="4979" w:type="dxa"/>
          </w:tcPr>
          <w:p>
            <w:pPr>
              <w:pStyle w:val="TableParagraph"/>
              <w:ind w:right="13"/>
              <w:jc w:val="both"/>
              <w:rPr>
                <w:sz w:val="24"/>
              </w:rPr>
            </w:pPr>
            <w:r>
              <w:rPr>
                <w:sz w:val="24"/>
              </w:rPr>
              <w:t>Sustitución de cubierta de techo del edificio de Ciencias Forenses en la Ciudad Judicial en San Joaquín de Flores, Heredia</w:t>
            </w:r>
          </w:p>
        </w:tc>
        <w:tc>
          <w:tcPr>
            <w:tcW w:w="2845" w:type="dxa"/>
          </w:tcPr>
          <w:p>
            <w:pPr>
              <w:pStyle w:val="TableParagraph"/>
              <w:spacing w:before="9"/>
              <w:ind w:left="0"/>
              <w:rPr>
                <w:sz w:val="35"/>
              </w:rPr>
            </w:pPr>
          </w:p>
          <w:p>
            <w:pPr>
              <w:pStyle w:val="TableParagraph"/>
              <w:rPr>
                <w:sz w:val="24"/>
              </w:rPr>
            </w:pPr>
            <w:r>
              <w:rPr>
                <w:sz w:val="24"/>
              </w:rPr>
              <w:t>¢266.292.160,36</w:t>
            </w:r>
          </w:p>
        </w:tc>
      </w:tr>
    </w:tbl>
    <w:p>
      <w:pPr>
        <w:pStyle w:val="BodyText"/>
        <w:rPr>
          <w:sz w:val="26"/>
        </w:rPr>
      </w:pPr>
    </w:p>
    <w:p>
      <w:pPr>
        <w:pStyle w:val="BodyText"/>
        <w:spacing w:before="10"/>
        <w:rPr>
          <w:sz w:val="21"/>
        </w:rPr>
      </w:pPr>
    </w:p>
    <w:p>
      <w:pPr>
        <w:pStyle w:val="BodyText"/>
        <w:ind w:left="968" w:right="973" w:firstLine="708"/>
        <w:jc w:val="both"/>
      </w:pPr>
      <w:r>
        <w:rPr/>
        <w:t>Ahora bien, en cuanto al precio ofertado, la Arq. Araya Blanco indicó en su informe técnico lo siguiente:</w:t>
      </w:r>
    </w:p>
    <w:p>
      <w:pPr>
        <w:pStyle w:val="BodyText"/>
        <w:spacing w:before="1"/>
      </w:pPr>
    </w:p>
    <w:p>
      <w:pPr>
        <w:spacing w:before="0"/>
        <w:ind w:left="1676" w:right="0" w:firstLine="0"/>
        <w:jc w:val="left"/>
        <w:rPr>
          <w:i/>
          <w:sz w:val="24"/>
        </w:rPr>
      </w:pPr>
      <w:r>
        <w:rPr>
          <w:i/>
          <w:sz w:val="24"/>
        </w:rPr>
        <w:t>“(…)</w:t>
      </w:r>
    </w:p>
    <w:p>
      <w:pPr>
        <w:pStyle w:val="BodyText"/>
        <w:rPr>
          <w:i/>
        </w:rPr>
      </w:pPr>
    </w:p>
    <w:p>
      <w:pPr>
        <w:spacing w:before="0"/>
        <w:ind w:left="968" w:right="974" w:firstLine="708"/>
        <w:jc w:val="both"/>
        <w:rPr>
          <w:i/>
          <w:sz w:val="24"/>
        </w:rPr>
      </w:pPr>
      <w:r>
        <w:rPr>
          <w:i/>
          <w:sz w:val="24"/>
        </w:rPr>
        <w:t>No se dará razonabilidad de precio, ya que el oferente no cumple con </w:t>
      </w:r>
      <w:r>
        <w:rPr>
          <w:i/>
          <w:sz w:val="24"/>
        </w:rPr>
        <w:t>requisitos de admisibilidad..”</w:t>
      </w:r>
    </w:p>
    <w:p>
      <w:pPr>
        <w:pStyle w:val="BodyText"/>
        <w:rPr>
          <w:i/>
        </w:rPr>
      </w:pPr>
    </w:p>
    <w:p>
      <w:pPr>
        <w:pStyle w:val="BodyText"/>
        <w:ind w:left="968" w:right="964" w:firstLine="708"/>
        <w:jc w:val="both"/>
      </w:pPr>
      <w:r>
        <w:rPr/>
        <w:t>Tomando en cuenta que de acuerdo a lo indicado por el ente técnico la oferta no cumple con los requerimientos cartelarios, aspecto que será desarrollado en el apartado de análisis y valoración, se omite por innecesario realizar análisis alguno con respecto al precio ofertado por dicho consorcio.</w:t>
      </w:r>
    </w:p>
    <w:p>
      <w:pPr>
        <w:pStyle w:val="BodyText"/>
      </w:pPr>
    </w:p>
    <w:p>
      <w:pPr>
        <w:pStyle w:val="Heading1"/>
        <w:rPr>
          <w:u w:val="none"/>
        </w:rPr>
      </w:pPr>
      <w:r>
        <w:rPr>
          <w:u w:val="thick"/>
        </w:rPr>
        <w:t>ANÁLISIS Y VALORACIÓN:</w:t>
      </w:r>
    </w:p>
    <w:p>
      <w:pPr>
        <w:pStyle w:val="BodyText"/>
        <w:spacing w:before="3"/>
        <w:rPr>
          <w:b/>
          <w:sz w:val="16"/>
        </w:rPr>
      </w:pPr>
    </w:p>
    <w:p>
      <w:pPr>
        <w:pStyle w:val="BodyText"/>
        <w:spacing w:before="90"/>
        <w:ind w:left="968" w:right="967" w:firstLine="708"/>
        <w:jc w:val="both"/>
      </w:pPr>
      <w:r>
        <w:rPr/>
        <w:t>Luego de haber obtenido los estudios de carácter legal y técnico detallados en los puntos anteriores, se procede seguidamente a la exposición, análisis y valoración de las circunstancias concurrentes en el presente procedimiento de contratación.</w:t>
      </w:r>
    </w:p>
    <w:p>
      <w:pPr>
        <w:spacing w:after="0"/>
        <w:jc w:val="both"/>
        <w:sectPr>
          <w:pgSz w:w="12240" w:h="15840"/>
          <w:pgMar w:header="853" w:footer="1850" w:top="1960" w:bottom="2040" w:left="1300" w:right="1300"/>
        </w:sectPr>
      </w:pPr>
    </w:p>
    <w:p>
      <w:pPr>
        <w:pStyle w:val="BodyText"/>
        <w:spacing w:before="2"/>
        <w:rPr>
          <w:sz w:val="27"/>
        </w:rPr>
      </w:pPr>
    </w:p>
    <w:p>
      <w:pPr>
        <w:pStyle w:val="BodyText"/>
        <w:spacing w:before="90"/>
        <w:ind w:left="968" w:right="967" w:firstLine="708"/>
        <w:jc w:val="both"/>
      </w:pPr>
      <w:r>
        <w:rPr/>
        <w:t>De conformidad con la valoración de la oferta presentada, realizado por el Departamento de Servicios Generales, se tiene lo siguiente:</w:t>
      </w:r>
    </w:p>
    <w:p>
      <w:pPr>
        <w:pStyle w:val="BodyText"/>
      </w:pPr>
    </w:p>
    <w:p>
      <w:pPr>
        <w:pStyle w:val="Heading1"/>
        <w:spacing w:before="1"/>
        <w:ind w:left="968" w:right="970" w:firstLine="708"/>
        <w:jc w:val="both"/>
        <w:rPr>
          <w:u w:val="none"/>
        </w:rPr>
      </w:pPr>
      <w:r>
        <w:rPr>
          <w:u w:val="thick"/>
        </w:rPr>
        <w:t>1.-</w:t>
      </w:r>
      <w:r>
        <w:rPr>
          <w:spacing w:val="-8"/>
          <w:u w:val="thick"/>
        </w:rPr>
        <w:t> </w:t>
      </w:r>
      <w:r>
        <w:rPr>
          <w:u w:val="thick"/>
        </w:rPr>
        <w:t>En</w:t>
      </w:r>
      <w:r>
        <w:rPr>
          <w:spacing w:val="-6"/>
          <w:u w:val="thick"/>
        </w:rPr>
        <w:t> </w:t>
      </w:r>
      <w:r>
        <w:rPr>
          <w:u w:val="thick"/>
        </w:rPr>
        <w:t>cuanto</w:t>
      </w:r>
      <w:r>
        <w:rPr>
          <w:spacing w:val="-8"/>
          <w:u w:val="thick"/>
        </w:rPr>
        <w:t> </w:t>
      </w:r>
      <w:r>
        <w:rPr>
          <w:u w:val="thick"/>
        </w:rPr>
        <w:t>a</w:t>
      </w:r>
      <w:r>
        <w:rPr>
          <w:spacing w:val="-9"/>
          <w:u w:val="thick"/>
        </w:rPr>
        <w:t> </w:t>
      </w:r>
      <w:r>
        <w:rPr>
          <w:u w:val="thick"/>
        </w:rPr>
        <w:t>la</w:t>
      </w:r>
      <w:r>
        <w:rPr>
          <w:spacing w:val="-6"/>
          <w:u w:val="thick"/>
        </w:rPr>
        <w:t> </w:t>
      </w:r>
      <w:r>
        <w:rPr>
          <w:u w:val="thick"/>
        </w:rPr>
        <w:t>oferta</w:t>
      </w:r>
      <w:r>
        <w:rPr>
          <w:spacing w:val="-7"/>
          <w:u w:val="thick"/>
        </w:rPr>
        <w:t> </w:t>
      </w:r>
      <w:r>
        <w:rPr>
          <w:u w:val="thick"/>
        </w:rPr>
        <w:t>presentada</w:t>
      </w:r>
      <w:r>
        <w:rPr>
          <w:spacing w:val="-7"/>
          <w:u w:val="thick"/>
        </w:rPr>
        <w:t> </w:t>
      </w:r>
      <w:r>
        <w:rPr>
          <w:u w:val="thick"/>
        </w:rPr>
        <w:t>por</w:t>
      </w:r>
      <w:r>
        <w:rPr>
          <w:spacing w:val="-7"/>
          <w:u w:val="thick"/>
        </w:rPr>
        <w:t> </w:t>
      </w:r>
      <w:r>
        <w:rPr>
          <w:u w:val="thick"/>
        </w:rPr>
        <w:t>el</w:t>
      </w:r>
      <w:r>
        <w:rPr>
          <w:spacing w:val="-7"/>
          <w:u w:val="thick"/>
        </w:rPr>
        <w:t> </w:t>
      </w:r>
      <w:r>
        <w:rPr>
          <w:u w:val="thick"/>
        </w:rPr>
        <w:t>consorcio</w:t>
      </w:r>
      <w:r>
        <w:rPr>
          <w:spacing w:val="-6"/>
          <w:u w:val="thick"/>
        </w:rPr>
        <w:t> </w:t>
      </w:r>
      <w:r>
        <w:rPr>
          <w:u w:val="thick"/>
        </w:rPr>
        <w:t>integrado</w:t>
      </w:r>
      <w:r>
        <w:rPr>
          <w:spacing w:val="-6"/>
          <w:u w:val="thick"/>
        </w:rPr>
        <w:t> </w:t>
      </w:r>
      <w:r>
        <w:rPr>
          <w:u w:val="thick"/>
        </w:rPr>
        <w:t>por</w:t>
      </w:r>
      <w:r>
        <w:rPr>
          <w:spacing w:val="-8"/>
          <w:u w:val="thick"/>
        </w:rPr>
        <w:t> </w:t>
      </w:r>
      <w:r>
        <w:rPr>
          <w:u w:val="thick"/>
        </w:rPr>
        <w:t>la</w:t>
      </w:r>
      <w:r>
        <w:rPr>
          <w:u w:val="none"/>
        </w:rPr>
        <w:t> </w:t>
      </w:r>
      <w:r>
        <w:rPr>
          <w:u w:val="thick"/>
        </w:rPr>
        <w:t>empresa Polyacril de Centro América S. A. y la empresa Servicios</w:t>
      </w:r>
      <w:r>
        <w:rPr>
          <w:spacing w:val="40"/>
          <w:u w:val="thick"/>
        </w:rPr>
        <w:t> </w:t>
      </w:r>
      <w:r>
        <w:rPr>
          <w:u w:val="thick"/>
        </w:rPr>
        <w:t>de</w:t>
      </w:r>
      <w:r>
        <w:rPr>
          <w:u w:val="none"/>
        </w:rPr>
        <w:t> </w:t>
      </w:r>
      <w:r>
        <w:rPr>
          <w:u w:val="thick"/>
        </w:rPr>
        <w:t>Mantenimiento Cubero S.</w:t>
      </w:r>
      <w:r>
        <w:rPr>
          <w:spacing w:val="-1"/>
          <w:u w:val="thick"/>
        </w:rPr>
        <w:t> </w:t>
      </w:r>
      <w:r>
        <w:rPr>
          <w:u w:val="thick"/>
        </w:rPr>
        <w:t>A.:</w:t>
      </w:r>
    </w:p>
    <w:p>
      <w:pPr>
        <w:pStyle w:val="BodyText"/>
        <w:spacing w:before="2"/>
        <w:rPr>
          <w:b/>
          <w:sz w:val="16"/>
        </w:rPr>
      </w:pPr>
    </w:p>
    <w:p>
      <w:pPr>
        <w:pStyle w:val="BodyText"/>
        <w:spacing w:before="90"/>
        <w:ind w:left="968" w:right="972" w:firstLine="708"/>
        <w:jc w:val="both"/>
      </w:pPr>
      <w:r>
        <w:rPr/>
        <w:t>La Arq. Araya Blanco indicó en su informe técnico que la oferta no cumple técnicamente con los requisitos especificados del modelo de lámina de cubierta.</w:t>
      </w:r>
    </w:p>
    <w:p>
      <w:pPr>
        <w:pStyle w:val="BodyText"/>
      </w:pPr>
    </w:p>
    <w:p>
      <w:pPr>
        <w:pStyle w:val="BodyText"/>
        <w:ind w:left="968" w:right="964" w:firstLine="708"/>
        <w:jc w:val="both"/>
      </w:pPr>
      <w:r>
        <w:rPr/>
        <w:t>Al respecto tenemos que en la cláusula 8.1 de “Desglose de la Oferta” y las cláusulas 13.1.2.1 y 13.1.2.1.5 del Anexo N° 1 “Especificaciones Técnicas” se establecía que se debía suministrar e instalar láminas de cubierta igual o superior a EcoRoof FC-1075 con todos sus accesorios, y en la cláusula 13.1.2.1.11.1</w:t>
      </w:r>
      <w:r>
        <w:rPr>
          <w:spacing w:val="-11"/>
        </w:rPr>
        <w:t> </w:t>
      </w:r>
      <w:r>
        <w:rPr/>
        <w:t>se</w:t>
      </w:r>
      <w:r>
        <w:rPr>
          <w:spacing w:val="-11"/>
        </w:rPr>
        <w:t> </w:t>
      </w:r>
      <w:r>
        <w:rPr/>
        <w:t>establecía</w:t>
      </w:r>
      <w:r>
        <w:rPr>
          <w:spacing w:val="-12"/>
        </w:rPr>
        <w:t> </w:t>
      </w:r>
      <w:r>
        <w:rPr/>
        <w:t>que</w:t>
      </w:r>
      <w:r>
        <w:rPr>
          <w:spacing w:val="-11"/>
        </w:rPr>
        <w:t> </w:t>
      </w:r>
      <w:r>
        <w:rPr/>
        <w:t>la</w:t>
      </w:r>
      <w:r>
        <w:rPr>
          <w:spacing w:val="-12"/>
        </w:rPr>
        <w:t> </w:t>
      </w:r>
      <w:r>
        <w:rPr/>
        <w:t>distancia</w:t>
      </w:r>
      <w:r>
        <w:rPr>
          <w:spacing w:val="-11"/>
        </w:rPr>
        <w:t> </w:t>
      </w:r>
      <w:r>
        <w:rPr/>
        <w:t>entre</w:t>
      </w:r>
      <w:r>
        <w:rPr>
          <w:spacing w:val="-9"/>
        </w:rPr>
        <w:t> </w:t>
      </w:r>
      <w:r>
        <w:rPr/>
        <w:t>apoyos</w:t>
      </w:r>
      <w:r>
        <w:rPr>
          <w:spacing w:val="-11"/>
        </w:rPr>
        <w:t> </w:t>
      </w:r>
      <w:r>
        <w:rPr/>
        <w:t>no</w:t>
      </w:r>
      <w:r>
        <w:rPr>
          <w:spacing w:val="-10"/>
        </w:rPr>
        <w:t> </w:t>
      </w:r>
      <w:r>
        <w:rPr/>
        <w:t>debía</w:t>
      </w:r>
      <w:r>
        <w:rPr>
          <w:spacing w:val="-12"/>
        </w:rPr>
        <w:t> </w:t>
      </w:r>
      <w:r>
        <w:rPr/>
        <w:t>superar</w:t>
      </w:r>
      <w:r>
        <w:rPr>
          <w:spacing w:val="-11"/>
        </w:rPr>
        <w:t> </w:t>
      </w:r>
      <w:r>
        <w:rPr/>
        <w:t>los</w:t>
      </w:r>
      <w:r>
        <w:rPr>
          <w:spacing w:val="-10"/>
        </w:rPr>
        <w:t> </w:t>
      </w:r>
      <w:r>
        <w:rPr/>
        <w:t>1.20 metros.</w:t>
      </w:r>
    </w:p>
    <w:p>
      <w:pPr>
        <w:pStyle w:val="BodyText"/>
      </w:pPr>
    </w:p>
    <w:p>
      <w:pPr>
        <w:pStyle w:val="BodyText"/>
        <w:ind w:left="968" w:right="965" w:firstLine="708"/>
        <w:jc w:val="both"/>
      </w:pPr>
      <w:r>
        <w:rPr/>
        <w:t>Según</w:t>
      </w:r>
      <w:r>
        <w:rPr>
          <w:spacing w:val="-15"/>
        </w:rPr>
        <w:t> </w:t>
      </w:r>
      <w:r>
        <w:rPr/>
        <w:t>ficha</w:t>
      </w:r>
      <w:r>
        <w:rPr>
          <w:spacing w:val="-16"/>
        </w:rPr>
        <w:t> </w:t>
      </w:r>
      <w:r>
        <w:rPr/>
        <w:t>técnica</w:t>
      </w:r>
      <w:r>
        <w:rPr>
          <w:spacing w:val="-16"/>
        </w:rPr>
        <w:t> </w:t>
      </w:r>
      <w:r>
        <w:rPr/>
        <w:t>visible</w:t>
      </w:r>
      <w:r>
        <w:rPr>
          <w:spacing w:val="-16"/>
        </w:rPr>
        <w:t> </w:t>
      </w:r>
      <w:r>
        <w:rPr/>
        <w:t>a</w:t>
      </w:r>
      <w:r>
        <w:rPr>
          <w:spacing w:val="-16"/>
        </w:rPr>
        <w:t> </w:t>
      </w:r>
      <w:r>
        <w:rPr/>
        <w:t>folios</w:t>
      </w:r>
      <w:r>
        <w:rPr>
          <w:spacing w:val="-14"/>
        </w:rPr>
        <w:t> </w:t>
      </w:r>
      <w:r>
        <w:rPr/>
        <w:t>296</w:t>
      </w:r>
      <w:r>
        <w:rPr>
          <w:spacing w:val="-15"/>
        </w:rPr>
        <w:t> </w:t>
      </w:r>
      <w:r>
        <w:rPr/>
        <w:t>a</w:t>
      </w:r>
      <w:r>
        <w:rPr>
          <w:spacing w:val="-16"/>
        </w:rPr>
        <w:t> </w:t>
      </w:r>
      <w:r>
        <w:rPr/>
        <w:t>299,</w:t>
      </w:r>
      <w:r>
        <w:rPr>
          <w:spacing w:val="-15"/>
        </w:rPr>
        <w:t> </w:t>
      </w:r>
      <w:r>
        <w:rPr/>
        <w:t>la</w:t>
      </w:r>
      <w:r>
        <w:rPr>
          <w:spacing w:val="-16"/>
        </w:rPr>
        <w:t> </w:t>
      </w:r>
      <w:r>
        <w:rPr/>
        <w:t>empresa</w:t>
      </w:r>
      <w:r>
        <w:rPr>
          <w:spacing w:val="-16"/>
        </w:rPr>
        <w:t> </w:t>
      </w:r>
      <w:r>
        <w:rPr/>
        <w:t>propone</w:t>
      </w:r>
      <w:r>
        <w:rPr>
          <w:spacing w:val="-16"/>
        </w:rPr>
        <w:t> </w:t>
      </w:r>
      <w:r>
        <w:rPr/>
        <w:t>láminas de</w:t>
      </w:r>
      <w:r>
        <w:rPr>
          <w:spacing w:val="-5"/>
        </w:rPr>
        <w:t> </w:t>
      </w:r>
      <w:r>
        <w:rPr/>
        <w:t>cubierta</w:t>
      </w:r>
      <w:r>
        <w:rPr>
          <w:spacing w:val="-4"/>
        </w:rPr>
        <w:t> </w:t>
      </w:r>
      <w:r>
        <w:rPr/>
        <w:t>EcoRoof</w:t>
      </w:r>
      <w:r>
        <w:rPr>
          <w:spacing w:val="-5"/>
        </w:rPr>
        <w:t> </w:t>
      </w:r>
      <w:r>
        <w:rPr/>
        <w:t>modelo</w:t>
      </w:r>
      <w:r>
        <w:rPr>
          <w:spacing w:val="-4"/>
        </w:rPr>
        <w:t> </w:t>
      </w:r>
      <w:r>
        <w:rPr/>
        <w:t>FC-1360,</w:t>
      </w:r>
      <w:r>
        <w:rPr>
          <w:spacing w:val="-4"/>
        </w:rPr>
        <w:t> </w:t>
      </w:r>
      <w:r>
        <w:rPr/>
        <w:t>la</w:t>
      </w:r>
      <w:r>
        <w:rPr>
          <w:spacing w:val="-4"/>
        </w:rPr>
        <w:t> </w:t>
      </w:r>
      <w:r>
        <w:rPr/>
        <w:t>cual</w:t>
      </w:r>
      <w:r>
        <w:rPr>
          <w:spacing w:val="-3"/>
        </w:rPr>
        <w:t> </w:t>
      </w:r>
      <w:r>
        <w:rPr/>
        <w:t>establece</w:t>
      </w:r>
      <w:r>
        <w:rPr>
          <w:spacing w:val="-5"/>
        </w:rPr>
        <w:t> </w:t>
      </w:r>
      <w:r>
        <w:rPr/>
        <w:t>que</w:t>
      </w:r>
      <w:r>
        <w:rPr>
          <w:spacing w:val="-5"/>
        </w:rPr>
        <w:t> </w:t>
      </w:r>
      <w:r>
        <w:rPr/>
        <w:t>en</w:t>
      </w:r>
      <w:r>
        <w:rPr>
          <w:spacing w:val="-3"/>
        </w:rPr>
        <w:t> </w:t>
      </w:r>
      <w:r>
        <w:rPr/>
        <w:t>la</w:t>
      </w:r>
      <w:r>
        <w:rPr>
          <w:spacing w:val="-4"/>
        </w:rPr>
        <w:t> </w:t>
      </w:r>
      <w:r>
        <w:rPr/>
        <w:t>distancia</w:t>
      </w:r>
      <w:r>
        <w:rPr>
          <w:spacing w:val="-5"/>
        </w:rPr>
        <w:t> </w:t>
      </w:r>
      <w:r>
        <w:rPr/>
        <w:t>entre apoyos</w:t>
      </w:r>
      <w:r>
        <w:rPr>
          <w:spacing w:val="-13"/>
        </w:rPr>
        <w:t> </w:t>
      </w:r>
      <w:r>
        <w:rPr/>
        <w:t>de</w:t>
      </w:r>
      <w:r>
        <w:rPr>
          <w:spacing w:val="-13"/>
        </w:rPr>
        <w:t> </w:t>
      </w:r>
      <w:r>
        <w:rPr/>
        <w:t>1.20</w:t>
      </w:r>
      <w:r>
        <w:rPr>
          <w:spacing w:val="-13"/>
        </w:rPr>
        <w:t> </w:t>
      </w:r>
      <w:r>
        <w:rPr/>
        <w:t>metros</w:t>
      </w:r>
      <w:r>
        <w:rPr>
          <w:spacing w:val="-12"/>
        </w:rPr>
        <w:t> </w:t>
      </w:r>
      <w:r>
        <w:rPr/>
        <w:t>su</w:t>
      </w:r>
      <w:r>
        <w:rPr>
          <w:spacing w:val="-11"/>
        </w:rPr>
        <w:t> </w:t>
      </w:r>
      <w:r>
        <w:rPr/>
        <w:t>resistencia</w:t>
      </w:r>
      <w:r>
        <w:rPr>
          <w:spacing w:val="-13"/>
        </w:rPr>
        <w:t> </w:t>
      </w:r>
      <w:r>
        <w:rPr/>
        <w:t>es</w:t>
      </w:r>
      <w:r>
        <w:rPr>
          <w:spacing w:val="-13"/>
        </w:rPr>
        <w:t> </w:t>
      </w:r>
      <w:r>
        <w:rPr/>
        <w:t>de</w:t>
      </w:r>
      <w:r>
        <w:rPr>
          <w:spacing w:val="-13"/>
        </w:rPr>
        <w:t> </w:t>
      </w:r>
      <w:r>
        <w:rPr/>
        <w:t>80</w:t>
      </w:r>
      <w:r>
        <w:rPr>
          <w:spacing w:val="-13"/>
        </w:rPr>
        <w:t> </w:t>
      </w:r>
      <w:r>
        <w:rPr/>
        <w:t>kg/m2,</w:t>
      </w:r>
      <w:r>
        <w:rPr>
          <w:spacing w:val="-12"/>
        </w:rPr>
        <w:t> </w:t>
      </w:r>
      <w:r>
        <w:rPr/>
        <w:t>y</w:t>
      </w:r>
      <w:r>
        <w:rPr>
          <w:spacing w:val="-13"/>
        </w:rPr>
        <w:t> </w:t>
      </w:r>
      <w:r>
        <w:rPr/>
        <w:t>según</w:t>
      </w:r>
      <w:r>
        <w:rPr>
          <w:spacing w:val="-12"/>
        </w:rPr>
        <w:t> </w:t>
      </w:r>
      <w:r>
        <w:rPr/>
        <w:t>cuadro</w:t>
      </w:r>
      <w:r>
        <w:rPr>
          <w:spacing w:val="-14"/>
        </w:rPr>
        <w:t> </w:t>
      </w:r>
      <w:r>
        <w:rPr/>
        <w:t>comparativo efectuado</w:t>
      </w:r>
      <w:r>
        <w:rPr>
          <w:spacing w:val="-13"/>
        </w:rPr>
        <w:t> </w:t>
      </w:r>
      <w:r>
        <w:rPr/>
        <w:t>por</w:t>
      </w:r>
      <w:r>
        <w:rPr>
          <w:spacing w:val="-14"/>
        </w:rPr>
        <w:t> </w:t>
      </w:r>
      <w:r>
        <w:rPr/>
        <w:t>el</w:t>
      </w:r>
      <w:r>
        <w:rPr>
          <w:spacing w:val="-13"/>
        </w:rPr>
        <w:t> </w:t>
      </w:r>
      <w:r>
        <w:rPr/>
        <w:t>ente</w:t>
      </w:r>
      <w:r>
        <w:rPr>
          <w:spacing w:val="-14"/>
        </w:rPr>
        <w:t> </w:t>
      </w:r>
      <w:r>
        <w:rPr/>
        <w:t>técnico</w:t>
      </w:r>
      <w:r>
        <w:rPr>
          <w:spacing w:val="-14"/>
        </w:rPr>
        <w:t> </w:t>
      </w:r>
      <w:r>
        <w:rPr/>
        <w:t>visible</w:t>
      </w:r>
      <w:r>
        <w:rPr>
          <w:spacing w:val="-13"/>
        </w:rPr>
        <w:t> </w:t>
      </w:r>
      <w:r>
        <w:rPr/>
        <w:t>a</w:t>
      </w:r>
      <w:r>
        <w:rPr>
          <w:spacing w:val="-14"/>
        </w:rPr>
        <w:t> </w:t>
      </w:r>
      <w:r>
        <w:rPr/>
        <w:t>folios</w:t>
      </w:r>
      <w:r>
        <w:rPr>
          <w:spacing w:val="-13"/>
        </w:rPr>
        <w:t> </w:t>
      </w:r>
      <w:r>
        <w:rPr/>
        <w:t>478</w:t>
      </w:r>
      <w:r>
        <w:rPr>
          <w:spacing w:val="-13"/>
        </w:rPr>
        <w:t> </w:t>
      </w:r>
      <w:r>
        <w:rPr/>
        <w:t>vuelto,</w:t>
      </w:r>
      <w:r>
        <w:rPr>
          <w:spacing w:val="-13"/>
        </w:rPr>
        <w:t> </w:t>
      </w:r>
      <w:r>
        <w:rPr/>
        <w:t>el</w:t>
      </w:r>
      <w:r>
        <w:rPr>
          <w:spacing w:val="-13"/>
        </w:rPr>
        <w:t> </w:t>
      </w:r>
      <w:r>
        <w:rPr/>
        <w:t>modelo</w:t>
      </w:r>
      <w:r>
        <w:rPr>
          <w:spacing w:val="-12"/>
        </w:rPr>
        <w:t> </w:t>
      </w:r>
      <w:r>
        <w:rPr/>
        <w:t>indicado</w:t>
      </w:r>
      <w:r>
        <w:rPr>
          <w:spacing w:val="-13"/>
        </w:rPr>
        <w:t> </w:t>
      </w:r>
      <w:r>
        <w:rPr/>
        <w:t>como referencia en el pliego de condiciones (EcoRoof FC-1075), establece que en la distancia entre apoyos de 1.20 metros su resistencia es de 100 kg/m2, por lo que a todas luces se observa que el modelo de lámina de cubierta propuesto por el oferente</w:t>
      </w:r>
      <w:r>
        <w:rPr>
          <w:spacing w:val="-10"/>
        </w:rPr>
        <w:t> </w:t>
      </w:r>
      <w:r>
        <w:rPr/>
        <w:t>no</w:t>
      </w:r>
      <w:r>
        <w:rPr>
          <w:spacing w:val="-8"/>
        </w:rPr>
        <w:t> </w:t>
      </w:r>
      <w:r>
        <w:rPr/>
        <w:t>es</w:t>
      </w:r>
      <w:r>
        <w:rPr>
          <w:spacing w:val="-6"/>
        </w:rPr>
        <w:t> </w:t>
      </w:r>
      <w:r>
        <w:rPr/>
        <w:t>igual</w:t>
      </w:r>
      <w:r>
        <w:rPr>
          <w:spacing w:val="-8"/>
        </w:rPr>
        <w:t> </w:t>
      </w:r>
      <w:r>
        <w:rPr/>
        <w:t>ni</w:t>
      </w:r>
      <w:r>
        <w:rPr>
          <w:spacing w:val="-7"/>
        </w:rPr>
        <w:t> </w:t>
      </w:r>
      <w:r>
        <w:rPr/>
        <w:t>superior</w:t>
      </w:r>
      <w:r>
        <w:rPr>
          <w:spacing w:val="-10"/>
        </w:rPr>
        <w:t> </w:t>
      </w:r>
      <w:r>
        <w:rPr/>
        <w:t>al</w:t>
      </w:r>
      <w:r>
        <w:rPr>
          <w:spacing w:val="-7"/>
        </w:rPr>
        <w:t> </w:t>
      </w:r>
      <w:r>
        <w:rPr/>
        <w:t>modelo</w:t>
      </w:r>
      <w:r>
        <w:rPr>
          <w:spacing w:val="-7"/>
        </w:rPr>
        <w:t> </w:t>
      </w:r>
      <w:r>
        <w:rPr/>
        <w:t>de</w:t>
      </w:r>
      <w:r>
        <w:rPr>
          <w:spacing w:val="-10"/>
        </w:rPr>
        <w:t> </w:t>
      </w:r>
      <w:r>
        <w:rPr/>
        <w:t>referencia</w:t>
      </w:r>
      <w:r>
        <w:rPr>
          <w:spacing w:val="-6"/>
        </w:rPr>
        <w:t> </w:t>
      </w:r>
      <w:r>
        <w:rPr/>
        <w:t>en</w:t>
      </w:r>
      <w:r>
        <w:rPr>
          <w:spacing w:val="-8"/>
        </w:rPr>
        <w:t> </w:t>
      </w:r>
      <w:r>
        <w:rPr/>
        <w:t>cuanto</w:t>
      </w:r>
      <w:r>
        <w:rPr>
          <w:spacing w:val="-8"/>
        </w:rPr>
        <w:t> </w:t>
      </w:r>
      <w:r>
        <w:rPr/>
        <w:t>a</w:t>
      </w:r>
      <w:r>
        <w:rPr>
          <w:spacing w:val="-9"/>
        </w:rPr>
        <w:t> </w:t>
      </w:r>
      <w:r>
        <w:rPr/>
        <w:t>su</w:t>
      </w:r>
      <w:r>
        <w:rPr>
          <w:spacing w:val="-6"/>
        </w:rPr>
        <w:t> </w:t>
      </w:r>
      <w:r>
        <w:rPr/>
        <w:t>resistencia de acuerdo a la distancia entre apoyos, y como tal dicha lámina no cumple con los requerimientos mínimos</w:t>
      </w:r>
      <w:r>
        <w:rPr>
          <w:spacing w:val="-1"/>
        </w:rPr>
        <w:t> </w:t>
      </w:r>
      <w:r>
        <w:rPr/>
        <w:t>cartelarios.</w:t>
      </w:r>
    </w:p>
    <w:p>
      <w:pPr>
        <w:pStyle w:val="BodyText"/>
        <w:spacing w:before="1"/>
      </w:pPr>
    </w:p>
    <w:p>
      <w:pPr>
        <w:pStyle w:val="BodyText"/>
        <w:ind w:left="968" w:right="966" w:firstLine="708"/>
        <w:jc w:val="both"/>
      </w:pPr>
      <w:r>
        <w:rPr/>
        <w:t>Igualmente el ente técnico indica, que según cuadro comparativo realizado</w:t>
      </w:r>
      <w:r>
        <w:rPr>
          <w:spacing w:val="-4"/>
        </w:rPr>
        <w:t> </w:t>
      </w:r>
      <w:r>
        <w:rPr/>
        <w:t>por</w:t>
      </w:r>
      <w:r>
        <w:rPr>
          <w:spacing w:val="-4"/>
        </w:rPr>
        <w:t> </w:t>
      </w:r>
      <w:r>
        <w:rPr/>
        <w:t>el</w:t>
      </w:r>
      <w:r>
        <w:rPr>
          <w:spacing w:val="-6"/>
        </w:rPr>
        <w:t> </w:t>
      </w:r>
      <w:r>
        <w:rPr/>
        <w:t>propio</w:t>
      </w:r>
      <w:r>
        <w:rPr>
          <w:spacing w:val="-6"/>
        </w:rPr>
        <w:t> </w:t>
      </w:r>
      <w:r>
        <w:rPr/>
        <w:t>oferente</w:t>
      </w:r>
      <w:r>
        <w:rPr>
          <w:spacing w:val="-5"/>
        </w:rPr>
        <w:t> </w:t>
      </w:r>
      <w:r>
        <w:rPr/>
        <w:t>visible</w:t>
      </w:r>
      <w:r>
        <w:rPr>
          <w:spacing w:val="-6"/>
        </w:rPr>
        <w:t> </w:t>
      </w:r>
      <w:r>
        <w:rPr/>
        <w:t>a</w:t>
      </w:r>
      <w:r>
        <w:rPr>
          <w:spacing w:val="-5"/>
        </w:rPr>
        <w:t> </w:t>
      </w:r>
      <w:r>
        <w:rPr/>
        <w:t>folio</w:t>
      </w:r>
      <w:r>
        <w:rPr>
          <w:spacing w:val="-5"/>
        </w:rPr>
        <w:t> </w:t>
      </w:r>
      <w:r>
        <w:rPr/>
        <w:t>445,</w:t>
      </w:r>
      <w:r>
        <w:rPr>
          <w:spacing w:val="-4"/>
        </w:rPr>
        <w:t> </w:t>
      </w:r>
      <w:r>
        <w:rPr/>
        <w:t>el</w:t>
      </w:r>
      <w:r>
        <w:rPr>
          <w:spacing w:val="-5"/>
        </w:rPr>
        <w:t> </w:t>
      </w:r>
      <w:r>
        <w:rPr/>
        <w:t>peso</w:t>
      </w:r>
      <w:r>
        <w:rPr>
          <w:spacing w:val="-5"/>
        </w:rPr>
        <w:t> </w:t>
      </w:r>
      <w:r>
        <w:rPr/>
        <w:t>por</w:t>
      </w:r>
      <w:r>
        <w:rPr>
          <w:spacing w:val="-5"/>
        </w:rPr>
        <w:t> </w:t>
      </w:r>
      <w:r>
        <w:rPr/>
        <w:t>“ml”</w:t>
      </w:r>
      <w:r>
        <w:rPr>
          <w:spacing w:val="-4"/>
        </w:rPr>
        <w:t> </w:t>
      </w:r>
      <w:r>
        <w:rPr/>
        <w:t>de</w:t>
      </w:r>
      <w:r>
        <w:rPr>
          <w:spacing w:val="-5"/>
        </w:rPr>
        <w:t> </w:t>
      </w:r>
      <w:r>
        <w:rPr/>
        <w:t>la</w:t>
      </w:r>
      <w:r>
        <w:rPr>
          <w:spacing w:val="-6"/>
        </w:rPr>
        <w:t> </w:t>
      </w:r>
      <w:r>
        <w:rPr/>
        <w:t>lámina propuesta (EcoRoof FC-1360), es de 7.61 kg, y el peso de la lámina indicada como referencia en el cartel (EcoRoof FC-1075), es de 5,26 kg, por lo que igualmente</w:t>
      </w:r>
      <w:r>
        <w:rPr>
          <w:spacing w:val="-7"/>
        </w:rPr>
        <w:t> </w:t>
      </w:r>
      <w:r>
        <w:rPr/>
        <w:t>en</w:t>
      </w:r>
      <w:r>
        <w:rPr>
          <w:spacing w:val="-5"/>
        </w:rPr>
        <w:t> </w:t>
      </w:r>
      <w:r>
        <w:rPr/>
        <w:t>este</w:t>
      </w:r>
      <w:r>
        <w:rPr>
          <w:spacing w:val="-7"/>
        </w:rPr>
        <w:t> </w:t>
      </w:r>
      <w:r>
        <w:rPr/>
        <w:t>aspecto</w:t>
      </w:r>
      <w:r>
        <w:rPr>
          <w:spacing w:val="-5"/>
        </w:rPr>
        <w:t> </w:t>
      </w:r>
      <w:r>
        <w:rPr/>
        <w:t>la</w:t>
      </w:r>
      <w:r>
        <w:rPr>
          <w:spacing w:val="-7"/>
        </w:rPr>
        <w:t> </w:t>
      </w:r>
      <w:r>
        <w:rPr/>
        <w:t>lámina</w:t>
      </w:r>
      <w:r>
        <w:rPr>
          <w:spacing w:val="-6"/>
        </w:rPr>
        <w:t> </w:t>
      </w:r>
      <w:r>
        <w:rPr/>
        <w:t>propuesta,</w:t>
      </w:r>
      <w:r>
        <w:rPr>
          <w:spacing w:val="-7"/>
        </w:rPr>
        <w:t> </w:t>
      </w:r>
      <w:r>
        <w:rPr/>
        <w:t>no</w:t>
      </w:r>
      <w:r>
        <w:rPr>
          <w:spacing w:val="-5"/>
        </w:rPr>
        <w:t> </w:t>
      </w:r>
      <w:r>
        <w:rPr/>
        <w:t>es</w:t>
      </w:r>
      <w:r>
        <w:rPr>
          <w:spacing w:val="-6"/>
        </w:rPr>
        <w:t> </w:t>
      </w:r>
      <w:r>
        <w:rPr/>
        <w:t>igual</w:t>
      </w:r>
      <w:r>
        <w:rPr>
          <w:spacing w:val="-5"/>
        </w:rPr>
        <w:t> </w:t>
      </w:r>
      <w:r>
        <w:rPr/>
        <w:t>ni</w:t>
      </w:r>
      <w:r>
        <w:rPr>
          <w:spacing w:val="-6"/>
        </w:rPr>
        <w:t> </w:t>
      </w:r>
      <w:r>
        <w:rPr/>
        <w:t>superior</w:t>
      </w:r>
      <w:r>
        <w:rPr>
          <w:spacing w:val="-6"/>
        </w:rPr>
        <w:t> </w:t>
      </w:r>
      <w:r>
        <w:rPr/>
        <w:t>al</w:t>
      </w:r>
      <w:r>
        <w:rPr>
          <w:spacing w:val="-6"/>
        </w:rPr>
        <w:t> </w:t>
      </w:r>
      <w:r>
        <w:rPr/>
        <w:t>modelo de referencia, y como tal se acredita aún más el hecho de que dicha lámina no cumple con los requerimientos mínimos</w:t>
      </w:r>
      <w:r>
        <w:rPr>
          <w:spacing w:val="-2"/>
        </w:rPr>
        <w:t> </w:t>
      </w:r>
      <w:r>
        <w:rPr/>
        <w:t>cartelarios.</w:t>
      </w:r>
    </w:p>
    <w:p>
      <w:pPr>
        <w:pStyle w:val="BodyText"/>
        <w:spacing w:before="1"/>
      </w:pPr>
    </w:p>
    <w:p>
      <w:pPr>
        <w:pStyle w:val="BodyText"/>
        <w:ind w:left="968" w:right="970" w:firstLine="708"/>
        <w:jc w:val="both"/>
      </w:pPr>
      <w:r>
        <w:rPr/>
        <w:t>Así las cosas, conforme a lo anteriormente indicado, siendo que la oferta propuesta por el consorcio no cumple con las especificaciones técnicas de la lámina de cubierta requerida en el pliego de condiciones, conforme a lo</w:t>
      </w:r>
    </w:p>
    <w:p>
      <w:pPr>
        <w:spacing w:after="0"/>
        <w:jc w:val="both"/>
        <w:sectPr>
          <w:pgSz w:w="12240" w:h="15840"/>
          <w:pgMar w:header="853" w:footer="1850" w:top="1960" w:bottom="2040" w:left="1300" w:right="1300"/>
        </w:sectPr>
      </w:pPr>
    </w:p>
    <w:p>
      <w:pPr>
        <w:pStyle w:val="BodyText"/>
        <w:spacing w:before="2"/>
        <w:rPr>
          <w:sz w:val="27"/>
        </w:rPr>
      </w:pPr>
    </w:p>
    <w:p>
      <w:pPr>
        <w:pStyle w:val="BodyText"/>
        <w:spacing w:before="90"/>
        <w:ind w:left="968" w:right="880"/>
      </w:pPr>
      <w:r>
        <w:rPr/>
        <w:t>establecido en el artículo 83 del Reglamento a la Ley de Contratación Administrativa, se procede a excluir dicha oferta del presente concurso.</w:t>
      </w:r>
    </w:p>
    <w:p>
      <w:pPr>
        <w:pStyle w:val="BodyText"/>
      </w:pPr>
    </w:p>
    <w:p>
      <w:pPr>
        <w:pStyle w:val="BodyText"/>
        <w:spacing w:before="1"/>
        <w:ind w:left="968" w:right="967" w:firstLine="708"/>
        <w:jc w:val="both"/>
      </w:pPr>
      <w:r>
        <w:rPr/>
        <w:t>Con respecto a los demás incumplimientos que indica el ente técnico</w:t>
      </w:r>
      <w:r>
        <w:rPr>
          <w:spacing w:val="-35"/>
        </w:rPr>
        <w:t> </w:t>
      </w:r>
      <w:r>
        <w:rPr/>
        <w:t>que presente</w:t>
      </w:r>
      <w:r>
        <w:rPr>
          <w:spacing w:val="-9"/>
        </w:rPr>
        <w:t> </w:t>
      </w:r>
      <w:r>
        <w:rPr/>
        <w:t>la</w:t>
      </w:r>
      <w:r>
        <w:rPr>
          <w:spacing w:val="-9"/>
        </w:rPr>
        <w:t> </w:t>
      </w:r>
      <w:r>
        <w:rPr/>
        <w:t>oferta</w:t>
      </w:r>
      <w:r>
        <w:rPr>
          <w:spacing w:val="-10"/>
        </w:rPr>
        <w:t> </w:t>
      </w:r>
      <w:r>
        <w:rPr/>
        <w:t>y</w:t>
      </w:r>
      <w:r>
        <w:rPr>
          <w:spacing w:val="-8"/>
        </w:rPr>
        <w:t> </w:t>
      </w:r>
      <w:r>
        <w:rPr/>
        <w:t>las</w:t>
      </w:r>
      <w:r>
        <w:rPr>
          <w:spacing w:val="-8"/>
        </w:rPr>
        <w:t> </w:t>
      </w:r>
      <w:r>
        <w:rPr/>
        <w:t>observaciones</w:t>
      </w:r>
      <w:r>
        <w:rPr>
          <w:spacing w:val="-8"/>
        </w:rPr>
        <w:t> </w:t>
      </w:r>
      <w:r>
        <w:rPr/>
        <w:t>realizadas</w:t>
      </w:r>
      <w:r>
        <w:rPr>
          <w:spacing w:val="-8"/>
        </w:rPr>
        <w:t> </w:t>
      </w:r>
      <w:r>
        <w:rPr/>
        <w:t>por</w:t>
      </w:r>
      <w:r>
        <w:rPr>
          <w:spacing w:val="-8"/>
        </w:rPr>
        <w:t> </w:t>
      </w:r>
      <w:r>
        <w:rPr/>
        <w:t>la</w:t>
      </w:r>
      <w:r>
        <w:rPr>
          <w:spacing w:val="-9"/>
        </w:rPr>
        <w:t> </w:t>
      </w:r>
      <w:r>
        <w:rPr/>
        <w:t>Dirección</w:t>
      </w:r>
      <w:r>
        <w:rPr>
          <w:spacing w:val="-8"/>
        </w:rPr>
        <w:t> </w:t>
      </w:r>
      <w:r>
        <w:rPr/>
        <w:t>Jurídica,</w:t>
      </w:r>
      <w:r>
        <w:rPr>
          <w:spacing w:val="-8"/>
        </w:rPr>
        <w:t> </w:t>
      </w:r>
      <w:r>
        <w:rPr/>
        <w:t>siendo que por lo anteriormente indicado dicha oferta está siendo excluida del presente concurso, por economía procesal se omite análisis alguno.</w:t>
      </w:r>
    </w:p>
    <w:p>
      <w:pPr>
        <w:pStyle w:val="BodyText"/>
        <w:spacing w:before="11"/>
        <w:rPr>
          <w:sz w:val="23"/>
        </w:rPr>
      </w:pPr>
    </w:p>
    <w:p>
      <w:pPr>
        <w:pStyle w:val="Heading1"/>
        <w:rPr>
          <w:u w:val="none"/>
        </w:rPr>
      </w:pPr>
      <w:r>
        <w:rPr>
          <w:u w:val="thick"/>
        </w:rPr>
        <w:t>EVALUACIÓN DE OFERTAS:</w:t>
      </w:r>
    </w:p>
    <w:p>
      <w:pPr>
        <w:pStyle w:val="BodyText"/>
        <w:spacing w:before="3"/>
        <w:rPr>
          <w:b/>
          <w:sz w:val="16"/>
        </w:rPr>
      </w:pPr>
    </w:p>
    <w:p>
      <w:pPr>
        <w:pStyle w:val="BodyText"/>
        <w:spacing w:before="90"/>
        <w:ind w:left="968" w:right="967" w:firstLine="708"/>
        <w:jc w:val="both"/>
      </w:pPr>
      <w:r>
        <w:rPr/>
        <w:t>Con base en los criterios emitidos por la Dirección de Tecnología de Información</w:t>
      </w:r>
      <w:r>
        <w:rPr>
          <w:spacing w:val="-6"/>
        </w:rPr>
        <w:t> </w:t>
      </w:r>
      <w:r>
        <w:rPr/>
        <w:t>y</w:t>
      </w:r>
      <w:r>
        <w:rPr>
          <w:spacing w:val="-9"/>
        </w:rPr>
        <w:t> </w:t>
      </w:r>
      <w:r>
        <w:rPr/>
        <w:t>la</w:t>
      </w:r>
      <w:r>
        <w:rPr>
          <w:spacing w:val="-6"/>
        </w:rPr>
        <w:t> </w:t>
      </w:r>
      <w:r>
        <w:rPr/>
        <w:t>Dirección</w:t>
      </w:r>
      <w:r>
        <w:rPr>
          <w:spacing w:val="-9"/>
        </w:rPr>
        <w:t> </w:t>
      </w:r>
      <w:r>
        <w:rPr/>
        <w:t>Jurídica,</w:t>
      </w:r>
      <w:r>
        <w:rPr>
          <w:spacing w:val="-9"/>
        </w:rPr>
        <w:t> </w:t>
      </w:r>
      <w:r>
        <w:rPr/>
        <w:t>del</w:t>
      </w:r>
      <w:r>
        <w:rPr>
          <w:spacing w:val="-7"/>
        </w:rPr>
        <w:t> </w:t>
      </w:r>
      <w:r>
        <w:rPr/>
        <w:t>análisis</w:t>
      </w:r>
      <w:r>
        <w:rPr>
          <w:spacing w:val="-8"/>
        </w:rPr>
        <w:t> </w:t>
      </w:r>
      <w:r>
        <w:rPr/>
        <w:t>de</w:t>
      </w:r>
      <w:r>
        <w:rPr>
          <w:spacing w:val="-9"/>
        </w:rPr>
        <w:t> </w:t>
      </w:r>
      <w:r>
        <w:rPr/>
        <w:t>las</w:t>
      </w:r>
      <w:r>
        <w:rPr>
          <w:spacing w:val="-9"/>
        </w:rPr>
        <w:t> </w:t>
      </w:r>
      <w:r>
        <w:rPr/>
        <w:t>ofertas</w:t>
      </w:r>
      <w:r>
        <w:rPr>
          <w:spacing w:val="-6"/>
        </w:rPr>
        <w:t> </w:t>
      </w:r>
      <w:r>
        <w:rPr/>
        <w:t>y</w:t>
      </w:r>
      <w:r>
        <w:rPr>
          <w:spacing w:val="-8"/>
        </w:rPr>
        <w:t> </w:t>
      </w:r>
      <w:r>
        <w:rPr/>
        <w:t>de</w:t>
      </w:r>
      <w:r>
        <w:rPr>
          <w:spacing w:val="-10"/>
        </w:rPr>
        <w:t> </w:t>
      </w:r>
      <w:r>
        <w:rPr/>
        <w:t>las</w:t>
      </w:r>
      <w:r>
        <w:rPr>
          <w:spacing w:val="-7"/>
        </w:rPr>
        <w:t> </w:t>
      </w:r>
      <w:r>
        <w:rPr/>
        <w:t>respuestas a</w:t>
      </w:r>
      <w:r>
        <w:rPr>
          <w:spacing w:val="-5"/>
        </w:rPr>
        <w:t> </w:t>
      </w:r>
      <w:r>
        <w:rPr/>
        <w:t>las</w:t>
      </w:r>
      <w:r>
        <w:rPr>
          <w:spacing w:val="-4"/>
        </w:rPr>
        <w:t> </w:t>
      </w:r>
      <w:r>
        <w:rPr/>
        <w:t>prevenciones</w:t>
      </w:r>
      <w:r>
        <w:rPr>
          <w:spacing w:val="-4"/>
        </w:rPr>
        <w:t> </w:t>
      </w:r>
      <w:r>
        <w:rPr/>
        <w:t>cursadas</w:t>
      </w:r>
      <w:r>
        <w:rPr>
          <w:spacing w:val="-4"/>
        </w:rPr>
        <w:t> </w:t>
      </w:r>
      <w:r>
        <w:rPr/>
        <w:t>por</w:t>
      </w:r>
      <w:r>
        <w:rPr>
          <w:spacing w:val="-5"/>
        </w:rPr>
        <w:t> </w:t>
      </w:r>
      <w:r>
        <w:rPr/>
        <w:t>esta</w:t>
      </w:r>
      <w:r>
        <w:rPr>
          <w:spacing w:val="-4"/>
        </w:rPr>
        <w:t> </w:t>
      </w:r>
      <w:r>
        <w:rPr/>
        <w:t>Proveeduría,</w:t>
      </w:r>
      <w:r>
        <w:rPr>
          <w:spacing w:val="-1"/>
        </w:rPr>
        <w:t> </w:t>
      </w:r>
      <w:r>
        <w:rPr/>
        <w:t>y</w:t>
      </w:r>
      <w:r>
        <w:rPr>
          <w:spacing w:val="-4"/>
        </w:rPr>
        <w:t> </w:t>
      </w:r>
      <w:r>
        <w:rPr/>
        <w:t>conforme</w:t>
      </w:r>
      <w:r>
        <w:rPr>
          <w:spacing w:val="-4"/>
        </w:rPr>
        <w:t> </w:t>
      </w:r>
      <w:r>
        <w:rPr/>
        <w:t>a</w:t>
      </w:r>
      <w:r>
        <w:rPr>
          <w:spacing w:val="-5"/>
        </w:rPr>
        <w:t> </w:t>
      </w:r>
      <w:r>
        <w:rPr/>
        <w:t>lo</w:t>
      </w:r>
      <w:r>
        <w:rPr>
          <w:spacing w:val="-3"/>
        </w:rPr>
        <w:t> </w:t>
      </w:r>
      <w:r>
        <w:rPr/>
        <w:t>establecido</w:t>
      </w:r>
      <w:r>
        <w:rPr>
          <w:spacing w:val="-2"/>
        </w:rPr>
        <w:t> </w:t>
      </w:r>
      <w:r>
        <w:rPr/>
        <w:t>en los artículos 80, 81, 82, y 83 del Reglamento a la Ley de Contratación Administrativa, siendo que de acuerdo a lo establecido en el apartado de “Análisis</w:t>
      </w:r>
      <w:r>
        <w:rPr>
          <w:spacing w:val="-8"/>
        </w:rPr>
        <w:t> </w:t>
      </w:r>
      <w:r>
        <w:rPr/>
        <w:t>y</w:t>
      </w:r>
      <w:r>
        <w:rPr>
          <w:spacing w:val="-9"/>
        </w:rPr>
        <w:t> </w:t>
      </w:r>
      <w:r>
        <w:rPr/>
        <w:t>Valoración”,</w:t>
      </w:r>
      <w:r>
        <w:rPr>
          <w:spacing w:val="-7"/>
        </w:rPr>
        <w:t> </w:t>
      </w:r>
      <w:r>
        <w:rPr/>
        <w:t>la</w:t>
      </w:r>
      <w:r>
        <w:rPr>
          <w:spacing w:val="-9"/>
        </w:rPr>
        <w:t> </w:t>
      </w:r>
      <w:r>
        <w:rPr/>
        <w:t>única</w:t>
      </w:r>
      <w:r>
        <w:rPr>
          <w:spacing w:val="-8"/>
        </w:rPr>
        <w:t> </w:t>
      </w:r>
      <w:r>
        <w:rPr/>
        <w:t>oferta</w:t>
      </w:r>
      <w:r>
        <w:rPr>
          <w:spacing w:val="-9"/>
        </w:rPr>
        <w:t> </w:t>
      </w:r>
      <w:r>
        <w:rPr/>
        <w:t>presentada</w:t>
      </w:r>
      <w:r>
        <w:rPr>
          <w:spacing w:val="-7"/>
        </w:rPr>
        <w:t> </w:t>
      </w:r>
      <w:r>
        <w:rPr/>
        <w:t>a</w:t>
      </w:r>
      <w:r>
        <w:rPr>
          <w:spacing w:val="-7"/>
        </w:rPr>
        <w:t> </w:t>
      </w:r>
      <w:r>
        <w:rPr/>
        <w:t>concurso</w:t>
      </w:r>
      <w:r>
        <w:rPr>
          <w:spacing w:val="-7"/>
        </w:rPr>
        <w:t> </w:t>
      </w:r>
      <w:r>
        <w:rPr/>
        <w:t>no</w:t>
      </w:r>
      <w:r>
        <w:rPr>
          <w:spacing w:val="-6"/>
        </w:rPr>
        <w:t> </w:t>
      </w:r>
      <w:r>
        <w:rPr/>
        <w:t>cumple</w:t>
      </w:r>
      <w:r>
        <w:rPr>
          <w:spacing w:val="-9"/>
        </w:rPr>
        <w:t> </w:t>
      </w:r>
      <w:r>
        <w:rPr/>
        <w:t>con</w:t>
      </w:r>
      <w:r>
        <w:rPr>
          <w:spacing w:val="-9"/>
        </w:rPr>
        <w:t> </w:t>
      </w:r>
      <w:r>
        <w:rPr/>
        <w:t>las especificaciones técnicas establecidas en el pliego de condiciones, no procede</w:t>
      </w:r>
      <w:r>
        <w:rPr>
          <w:spacing w:val="-16"/>
        </w:rPr>
        <w:t> </w:t>
      </w:r>
      <w:r>
        <w:rPr/>
        <w:t>la aplicación del sistema de evaluación en el presente</w:t>
      </w:r>
      <w:r>
        <w:rPr>
          <w:spacing w:val="-1"/>
        </w:rPr>
        <w:t> </w:t>
      </w:r>
      <w:r>
        <w:rPr/>
        <w:t>concurso.</w:t>
      </w:r>
    </w:p>
    <w:p>
      <w:pPr>
        <w:pStyle w:val="BodyText"/>
      </w:pPr>
    </w:p>
    <w:p>
      <w:pPr>
        <w:pStyle w:val="Heading1"/>
        <w:rPr>
          <w:u w:val="none"/>
        </w:rPr>
      </w:pPr>
      <w:r>
        <w:rPr>
          <w:u w:val="thick"/>
        </w:rPr>
        <w:t>CONTENIDO PRESUPUESTARIO</w:t>
      </w:r>
    </w:p>
    <w:p>
      <w:pPr>
        <w:pStyle w:val="BodyText"/>
        <w:spacing w:before="2"/>
        <w:rPr>
          <w:b/>
          <w:sz w:val="16"/>
        </w:rPr>
      </w:pPr>
    </w:p>
    <w:p>
      <w:pPr>
        <w:pStyle w:val="BodyText"/>
        <w:spacing w:before="90"/>
        <w:ind w:left="968" w:right="880" w:firstLine="708"/>
      </w:pPr>
      <w:r>
        <w:rPr/>
        <w:t>Para la presente contratación, siendo que el único oferente no cumple con los requerimientos cartelarios, no se requiere contenido presupuestario alguno.</w:t>
      </w:r>
    </w:p>
    <w:p>
      <w:pPr>
        <w:pStyle w:val="BodyText"/>
      </w:pPr>
    </w:p>
    <w:p>
      <w:pPr>
        <w:pStyle w:val="Heading1"/>
        <w:rPr>
          <w:u w:val="none"/>
        </w:rPr>
      </w:pPr>
      <w:r>
        <w:rPr>
          <w:u w:val="thick"/>
        </w:rPr>
        <w:t>RECOMENDACIÓN:</w:t>
      </w:r>
    </w:p>
    <w:p>
      <w:pPr>
        <w:pStyle w:val="BodyText"/>
        <w:spacing w:before="3"/>
        <w:rPr>
          <w:b/>
          <w:sz w:val="16"/>
        </w:rPr>
      </w:pPr>
    </w:p>
    <w:p>
      <w:pPr>
        <w:pStyle w:val="BodyText"/>
        <w:spacing w:before="90"/>
        <w:ind w:left="968" w:right="967" w:firstLine="708"/>
        <w:jc w:val="both"/>
      </w:pPr>
      <w:r>
        <w:rPr/>
        <w:t>Conforme a todo lo expuesto anteriormente, siendo que la única oferta presentada a concurso no cumple con las especificaciones técnicas mínimas establecidas en el pliego de condiciones, conforme a lo establecido en los artículos 83 y 86 del Reglamento a la Ley de Contratación Administrativa, se recomienda declarar infructuoso el presente procedimiento. Deberá valorar la Administración de la Ciudad Judicial en conjunto con el Departamento de Servicios Generales si se mantienen las mismas especificaciones técnicas para un nuevo procedimiento de contratación si así lo requieren.”</w:t>
      </w:r>
    </w:p>
    <w:p>
      <w:pPr>
        <w:pStyle w:val="BodyText"/>
      </w:pPr>
    </w:p>
    <w:p>
      <w:pPr>
        <w:pStyle w:val="BodyText"/>
        <w:ind w:left="3842" w:right="3842"/>
        <w:jc w:val="center"/>
      </w:pPr>
      <w:r>
        <w:rPr/>
        <w:t>-0-</w:t>
      </w:r>
    </w:p>
    <w:p>
      <w:pPr>
        <w:pStyle w:val="BodyText"/>
      </w:pPr>
    </w:p>
    <w:p>
      <w:pPr>
        <w:pStyle w:val="BodyText"/>
        <w:ind w:left="116" w:right="117" w:firstLine="707"/>
        <w:jc w:val="both"/>
      </w:pPr>
      <w:r>
        <w:rPr/>
        <w:t>De conformidad con lo que establecen los artículos 81, inciso 10, de la Ley Orgánica del Poder Judicial, 106 de la Ley de Contratación Administrativa, </w:t>
      </w:r>
      <w:r>
        <w:rPr>
          <w:color w:val="FF0000"/>
        </w:rPr>
        <w:t>83 y </w:t>
      </w:r>
      <w:r>
        <w:rPr/>
        <w:t>86 del Reglamento a la Ley</w:t>
      </w:r>
      <w:r>
        <w:rPr>
          <w:spacing w:val="-23"/>
        </w:rPr>
        <w:t> </w:t>
      </w:r>
      <w:r>
        <w:rPr/>
        <w:t>de Contratación Administrativa y la recomendación formulada por el Departamento de Proveeduría en el oficio anteriormente trascrito, </w:t>
      </w:r>
      <w:r>
        <w:rPr>
          <w:b/>
        </w:rPr>
        <w:t>se acordó: 1) </w:t>
      </w:r>
      <w:r>
        <w:rPr/>
        <w:t>Declarar infructuosa la Licitación Abreviada</w:t>
      </w:r>
      <w:r>
        <w:rPr>
          <w:spacing w:val="-37"/>
        </w:rPr>
        <w:t> </w:t>
      </w:r>
      <w:r>
        <w:rPr/>
        <w:t>N°</w:t>
      </w:r>
    </w:p>
    <w:p>
      <w:pPr>
        <w:spacing w:after="0"/>
        <w:jc w:val="both"/>
        <w:sectPr>
          <w:pgSz w:w="12240" w:h="15840"/>
          <w:pgMar w:header="853" w:footer="1850" w:top="1960" w:bottom="2040" w:left="1300" w:right="1300"/>
        </w:sectPr>
      </w:pPr>
    </w:p>
    <w:p>
      <w:pPr>
        <w:pStyle w:val="BodyText"/>
        <w:spacing w:before="2"/>
        <w:rPr>
          <w:sz w:val="27"/>
        </w:rPr>
      </w:pPr>
    </w:p>
    <w:p>
      <w:pPr>
        <w:pStyle w:val="BodyText"/>
        <w:spacing w:before="90"/>
        <w:ind w:left="116" w:right="118"/>
        <w:jc w:val="both"/>
      </w:pPr>
      <w:r>
        <w:rPr/>
        <w:t>2019LA-000042-PROV correspondiente a la “Sustitución de Cubierta de Techo del Edificio de Ciencias Forenses”. </w:t>
      </w:r>
      <w:r>
        <w:rPr>
          <w:b/>
        </w:rPr>
        <w:t>2) </w:t>
      </w:r>
      <w:r>
        <w:rPr/>
        <w:t>Deberá valorar la Administración de la Ciudad Judicial, en conjunto con</w:t>
      </w:r>
      <w:r>
        <w:rPr>
          <w:spacing w:val="-18"/>
        </w:rPr>
        <w:t> </w:t>
      </w:r>
      <w:r>
        <w:rPr/>
        <w:t>el Departamento de Servicios Generales si se mantienen las mismas especificaciones técnicas para un nuevo procedimiento de contratación si así lo</w:t>
      </w:r>
      <w:r>
        <w:rPr>
          <w:spacing w:val="-3"/>
        </w:rPr>
        <w:t> </w:t>
      </w:r>
      <w:r>
        <w:rPr/>
        <w:t>requieren.</w:t>
      </w:r>
    </w:p>
    <w:p>
      <w:pPr>
        <w:pStyle w:val="BodyText"/>
      </w:pPr>
    </w:p>
    <w:p>
      <w:pPr>
        <w:spacing w:before="1"/>
        <w:ind w:left="116" w:right="0" w:firstLine="707"/>
        <w:jc w:val="left"/>
        <w:rPr>
          <w:sz w:val="24"/>
        </w:rPr>
      </w:pPr>
      <w:r>
        <w:rPr>
          <w:sz w:val="24"/>
        </w:rPr>
        <w:t>La Dirección Ejecutiva y el Departamento de Proveeduría, tomarán nota para lo que a cada uno corresponda. </w:t>
      </w:r>
      <w:r>
        <w:rPr>
          <w:b/>
          <w:sz w:val="24"/>
        </w:rPr>
        <w:t>Se declara este acuerdo firme.</w:t>
      </w:r>
      <w:r>
        <w:rPr>
          <w:sz w:val="24"/>
        </w:rPr>
        <w:t>”</w:t>
      </w:r>
    </w:p>
    <w:p>
      <w:pPr>
        <w:pStyle w:val="BodyText"/>
        <w:spacing w:before="11"/>
        <w:rPr>
          <w:sz w:val="23"/>
        </w:rPr>
      </w:pPr>
    </w:p>
    <w:p>
      <w:pPr>
        <w:pStyle w:val="Heading1"/>
        <w:ind w:left="4365"/>
        <w:rPr>
          <w:u w:val="none"/>
        </w:rPr>
      </w:pPr>
      <w:r>
        <w:rPr>
          <w:u w:val="none"/>
        </w:rPr>
        <w:t>Atentamente,</w:t>
      </w:r>
    </w:p>
    <w:p>
      <w:pPr>
        <w:pStyle w:val="BodyText"/>
        <w:rPr>
          <w:b/>
          <w:sz w:val="26"/>
        </w:rPr>
      </w:pPr>
    </w:p>
    <w:p>
      <w:pPr>
        <w:pStyle w:val="BodyText"/>
        <w:rPr>
          <w:b/>
          <w:sz w:val="26"/>
        </w:rPr>
      </w:pPr>
    </w:p>
    <w:p>
      <w:pPr>
        <w:pStyle w:val="BodyText"/>
        <w:rPr>
          <w:b/>
          <w:sz w:val="26"/>
        </w:rPr>
      </w:pPr>
    </w:p>
    <w:p>
      <w:pPr>
        <w:spacing w:before="208"/>
        <w:ind w:left="4365" w:right="2109" w:firstLine="0"/>
        <w:jc w:val="left"/>
        <w:rPr>
          <w:b/>
          <w:sz w:val="24"/>
        </w:rPr>
      </w:pPr>
      <w:r>
        <w:rPr>
          <w:b/>
          <w:sz w:val="24"/>
        </w:rPr>
        <w:t>Kenneth Aguilar Hernández Prosecretario General interino Secretaría General de la Corte</w:t>
      </w:r>
    </w:p>
    <w:p>
      <w:pPr>
        <w:pStyle w:val="BodyText"/>
        <w:rPr>
          <w:b/>
        </w:rPr>
      </w:pPr>
    </w:p>
    <w:p>
      <w:pPr>
        <w:pStyle w:val="BodyText"/>
        <w:tabs>
          <w:tab w:pos="824" w:val="left" w:leader="none"/>
        </w:tabs>
        <w:ind w:left="824" w:right="3125" w:hanging="708"/>
      </w:pPr>
      <w:r>
        <w:rPr/>
        <w:t>c:</w:t>
        <w:tab/>
        <w:t>Dirección General del Organismo de Investigación </w:t>
      </w:r>
      <w:r>
        <w:rPr>
          <w:spacing w:val="-3"/>
        </w:rPr>
        <w:t>Judicial </w:t>
      </w:r>
      <w:r>
        <w:rPr/>
        <w:t>Auditoría</w:t>
      </w:r>
    </w:p>
    <w:p>
      <w:pPr>
        <w:pStyle w:val="BodyText"/>
        <w:ind w:left="824" w:right="6883"/>
      </w:pPr>
      <w:r>
        <w:rPr/>
        <w:t>Dirección Jurídica Dirección Ejecutiva</w:t>
      </w:r>
    </w:p>
    <w:p>
      <w:pPr>
        <w:pStyle w:val="BodyText"/>
        <w:ind w:left="824" w:right="5223"/>
      </w:pPr>
      <w:r>
        <w:rPr/>
        <w:t>Departamento de Ciencias Forenses Departamento de Medicina Legal Administración de la Ciudad Judicial</w:t>
      </w:r>
    </w:p>
    <w:p>
      <w:pPr>
        <w:pStyle w:val="BodyText"/>
        <w:ind w:left="824"/>
      </w:pPr>
      <w:r>
        <w:rPr/>
        <w:t>Área de Contratación Administrativa - Dirección Jurídica </w:t>
      </w:r>
      <w:hyperlink r:id="rId7">
        <w:r>
          <w:rPr>
            <w:u w:val="single"/>
          </w:rPr>
          <w:t>contra-admin-dirjur@Poder-</w:t>
        </w:r>
      </w:hyperlink>
      <w:r>
        <w:rPr/>
        <w:t> </w:t>
      </w:r>
      <w:hyperlink r:id="rId7">
        <w:r>
          <w:rPr>
            <w:u w:val="single"/>
          </w:rPr>
          <w:t>Judicial.go.cr</w:t>
        </w:r>
      </w:hyperlink>
    </w:p>
    <w:p>
      <w:pPr>
        <w:pStyle w:val="BodyText"/>
        <w:spacing w:before="1"/>
        <w:ind w:left="824" w:right="5177"/>
        <w:rPr>
          <w:b/>
        </w:rPr>
      </w:pPr>
      <w:r>
        <w:rPr/>
        <w:t>Departamento de Servicios Generales Diligencias / Refs: </w:t>
      </w:r>
      <w:r>
        <w:rPr>
          <w:b/>
        </w:rPr>
        <w:t>(2798-20)</w:t>
      </w:r>
    </w:p>
    <w:p>
      <w:pPr>
        <w:pStyle w:val="BodyText"/>
        <w:ind w:left="116"/>
      </w:pPr>
      <w:r>
        <w:rPr/>
        <w:t>Anthony</w:t>
      </w:r>
    </w:p>
    <w:sectPr>
      <w:pgSz w:w="12240" w:h="15840"/>
      <w:pgMar w:header="853" w:footer="1850" w:top="1960" w:bottom="20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103996pt;margin-top:688.482666pt;width:455.85pt;height:33.9pt;mso-position-horizontal-relative:page;mso-position-vertical-relative:page;z-index:-251862016" type="#_x0000_t202" filled="false" stroked="false">
          <v:textbox inset="0,0,0,0">
            <w:txbxContent>
              <w:p>
                <w:pPr>
                  <w:spacing w:before="10"/>
                  <w:ind w:left="0" w:right="0" w:firstLine="0"/>
                  <w:jc w:val="center"/>
                  <w:rPr>
                    <w:b/>
                    <w:sz w:val="16"/>
                  </w:rPr>
                </w:pPr>
                <w:r>
                  <w:rPr>
                    <w:b/>
                    <w:sz w:val="16"/>
                  </w:rPr>
                  <w:t>Teléfonos: 2295-3845 // 2295-3711 Correo: </w:t>
                </w:r>
                <w:hyperlink r:id="rId1">
                  <w:r>
                    <w:rPr>
                      <w:color w:val="000080"/>
                      <w:sz w:val="24"/>
                      <w:u w:val="single" w:color="000080"/>
                    </w:rPr>
                    <w:t>secrecorte@poder-judicial.go.cr</w:t>
                  </w:r>
                  <w:r>
                    <w:rPr>
                      <w:color w:val="000080"/>
                      <w:sz w:val="24"/>
                    </w:rPr>
                    <w:t> </w:t>
                  </w:r>
                </w:hyperlink>
                <w:r>
                  <w:rPr>
                    <w:b/>
                    <w:sz w:val="16"/>
                  </w:rPr>
                  <w:t>Fax: (506) 2295-3706 Apdo: 1-1003 San José</w:t>
                </w:r>
              </w:p>
              <w:p>
                <w:pPr>
                  <w:spacing w:before="187"/>
                  <w:ind w:left="0" w:right="0" w:firstLine="0"/>
                  <w:jc w:val="center"/>
                  <w:rPr>
                    <w:b/>
                    <w:sz w:val="16"/>
                  </w:rPr>
                </w:pPr>
                <w:r>
                  <w:rPr/>
                  <w:fldChar w:fldCharType="begin"/>
                </w:r>
                <w:r>
                  <w:rPr>
                    <w:b/>
                    <w:w w:val="100"/>
                    <w:sz w:val="16"/>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52416">
          <wp:simplePos x="0" y="0"/>
          <wp:positionH relativeFrom="page">
            <wp:posOffset>918844</wp:posOffset>
          </wp:positionH>
          <wp:positionV relativeFrom="page">
            <wp:posOffset>541655</wp:posOffset>
          </wp:positionV>
          <wp:extent cx="594360" cy="66230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94360" cy="66230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6.539993pt;margin-top:70.266640pt;width:133pt;height:29.15pt;mso-position-horizontal-relative:page;mso-position-vertical-relative:page;z-index:-251863040" type="#_x0000_t202" filled="false" stroked="false">
          <v:textbox inset="0,0,0,0">
            <w:txbxContent>
              <w:p>
                <w:pPr>
                  <w:spacing w:before="10"/>
                  <w:ind w:left="305" w:right="0" w:hanging="286"/>
                  <w:jc w:val="left"/>
                  <w:rPr>
                    <w:b/>
                    <w:i/>
                    <w:sz w:val="24"/>
                  </w:rPr>
                </w:pPr>
                <w:r>
                  <w:rPr>
                    <w:b/>
                    <w:i/>
                    <w:sz w:val="24"/>
                  </w:rPr>
                  <w:t>Corte Suprema de Justicia </w:t>
                </w:r>
                <w:r>
                  <w:rPr>
                    <w:b/>
                    <w:i/>
                    <w:sz w:val="24"/>
                  </w:rPr>
                  <w:t>Secretaría General</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676"/>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ind w:left="30"/>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ontra-admin-dirjur@Poder-Judicial.go.c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dc:title>San José, …</dc:title>
  <dcterms:created xsi:type="dcterms:W3CDTF">2020-05-07T19:20:08Z</dcterms:created>
  <dcterms:modified xsi:type="dcterms:W3CDTF">2020-05-07T19:20:08Z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Microsoft® Word para Office 365</vt:lpwstr>
  </property>
  <property fmtid="{D5CDD505-2E9C-101B-9397-08002B2CF9AE}" pid="4" name="LastSaved">
    <vt:filetime>2020-05-07T00:00:00Z</vt:filetime>
  </property>
</Properties>
</file>