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6744"/>
        <w:gridCol w:w="1574"/>
      </w:tblGrid>
      <w:tr>
        <w:trPr>
          <w:trHeight w:val="324" w:hRule="atLeast"/>
        </w:trPr>
        <w:tc>
          <w:tcPr>
            <w:tcW w:w="1582" w:type="dxa"/>
          </w:tcPr>
          <w:p>
            <w:pPr>
              <w:pStyle w:val="TableParagraph"/>
              <w:spacing w:before="53"/>
              <w:ind w:left="28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</w:t>
            </w:r>
            <w:r>
              <w:rPr>
                <w:sz w:val="18"/>
              </w:rPr>
              <w:t>: 2456-9039</w:t>
            </w:r>
          </w:p>
        </w:tc>
        <w:tc>
          <w:tcPr>
            <w:tcW w:w="6744" w:type="dxa"/>
          </w:tcPr>
          <w:p>
            <w:pPr>
              <w:pStyle w:val="TableParagraph"/>
              <w:spacing w:line="305" w:lineRule="exact"/>
              <w:ind w:left="846" w:right="96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Administración Regional de San Ramón</w:t>
            </w:r>
          </w:p>
        </w:tc>
        <w:tc>
          <w:tcPr>
            <w:tcW w:w="1574" w:type="dxa"/>
          </w:tcPr>
          <w:p>
            <w:pPr>
              <w:pStyle w:val="TableParagraph"/>
              <w:spacing w:before="53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San Ramón</w:t>
            </w:r>
          </w:p>
        </w:tc>
      </w:tr>
      <w:tr>
        <w:trPr>
          <w:trHeight w:val="288" w:hRule="atLeast"/>
        </w:trPr>
        <w:tc>
          <w:tcPr>
            <w:tcW w:w="1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</w:t>
            </w:r>
            <w:r>
              <w:rPr>
                <w:sz w:val="18"/>
              </w:rPr>
              <w:t>: 2445-5193</w:t>
            </w:r>
          </w:p>
        </w:tc>
        <w:tc>
          <w:tcPr>
            <w:tcW w:w="6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565"/>
              <w:rPr>
                <w:b/>
                <w:sz w:val="22"/>
              </w:rPr>
            </w:pPr>
            <w:hyperlink r:id="rId5">
              <w:r>
                <w:rPr>
                  <w:b/>
                  <w:color w:val="0000FF"/>
                  <w:sz w:val="22"/>
                  <w:u w:val="single" w:color="0000FF"/>
                </w:rPr>
                <w:t>administracion-sra@poder-judicial.go.cr</w:t>
              </w:r>
            </w:hyperlink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Costa Rica</w:t>
            </w:r>
          </w:p>
        </w:tc>
      </w:tr>
      <w:tr>
        <w:trPr>
          <w:trHeight w:val="1461" w:hRule="atLeast"/>
        </w:trPr>
        <w:tc>
          <w:tcPr>
            <w:tcW w:w="15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846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RESUMEN DE ADJUDICACIÓN Nº 07-ARSR/CM FECHA: 16/03/2020</w:t>
            </w:r>
          </w:p>
          <w:p>
            <w:pPr>
              <w:pStyle w:val="TableParagraph"/>
              <w:ind w:left="846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2020CD-000006-ARSRCM</w:t>
            </w:r>
          </w:p>
          <w:p>
            <w:pPr>
              <w:pStyle w:val="TableParagraph"/>
              <w:ind w:left="846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“Compra de vehículo no tripulado (dron)</w:t>
            </w:r>
          </w:p>
          <w:p>
            <w:pPr>
              <w:pStyle w:val="TableParagraph"/>
              <w:spacing w:line="268" w:lineRule="exact"/>
              <w:ind w:left="457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 uso de la Delegación Regional del OIJ de San Ramón”</w:t>
            </w:r>
          </w:p>
        </w:tc>
        <w:tc>
          <w:tcPr>
            <w:tcW w:w="15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Heading1"/>
        <w:spacing w:before="52"/>
        <w:ind w:left="213" w:right="4636"/>
      </w:pPr>
      <w:r>
        <w:rPr/>
        <w:t>Proveedor: GeoINn Geospatial Innovations S.A. Cédula jurídica: 3-101-617005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927"/>
        <w:gridCol w:w="5214"/>
        <w:gridCol w:w="1587"/>
        <w:gridCol w:w="1476"/>
      </w:tblGrid>
      <w:tr>
        <w:trPr>
          <w:trHeight w:val="587" w:hRule="atLeast"/>
        </w:trPr>
        <w:tc>
          <w:tcPr>
            <w:tcW w:w="776" w:type="dxa"/>
            <w:shd w:val="clear" w:color="auto" w:fill="E6E6E6"/>
          </w:tcPr>
          <w:p>
            <w:pPr>
              <w:pStyle w:val="TableParagraph"/>
              <w:spacing w:line="290" w:lineRule="atLeast" w:before="1"/>
              <w:ind w:left="256" w:right="89" w:hanging="133"/>
              <w:rPr>
                <w:b/>
                <w:sz w:val="24"/>
              </w:rPr>
            </w:pPr>
            <w:r>
              <w:rPr>
                <w:b/>
                <w:sz w:val="24"/>
              </w:rPr>
              <w:t>Línea Nº</w:t>
            </w:r>
          </w:p>
        </w:tc>
        <w:tc>
          <w:tcPr>
            <w:tcW w:w="927" w:type="dxa"/>
            <w:shd w:val="clear" w:color="auto" w:fill="E6E6E6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5214" w:type="dxa"/>
            <w:shd w:val="clear" w:color="auto" w:fill="E6E6E6"/>
          </w:tcPr>
          <w:p>
            <w:pPr>
              <w:pStyle w:val="TableParagraph"/>
              <w:spacing w:before="1"/>
              <w:ind w:left="2005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1587" w:type="dxa"/>
            <w:shd w:val="clear" w:color="auto" w:fill="E6E6E6"/>
          </w:tcPr>
          <w:p>
            <w:pPr>
              <w:pStyle w:val="TableParagraph"/>
              <w:spacing w:before="1"/>
              <w:ind w:left="2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Unitario</w:t>
            </w:r>
          </w:p>
        </w:tc>
        <w:tc>
          <w:tcPr>
            <w:tcW w:w="1476" w:type="dxa"/>
            <w:shd w:val="clear" w:color="auto" w:fill="E6E6E6"/>
          </w:tcPr>
          <w:p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total</w:t>
            </w:r>
          </w:p>
        </w:tc>
      </w:tr>
      <w:tr>
        <w:trPr>
          <w:trHeight w:val="5858" w:hRule="atLeast"/>
        </w:trPr>
        <w:tc>
          <w:tcPr>
            <w:tcW w:w="7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>
            <w:pPr>
              <w:pStyle w:val="TableParagraph"/>
              <w:ind w:left="157" w:right="152" w:firstLine="4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Compra de vehículo no tripulado (dron) </w:t>
            </w:r>
            <w:r>
              <w:rPr>
                <w:b/>
                <w:spacing w:val="-3"/>
                <w:sz w:val="24"/>
                <w:u w:val="single"/>
              </w:rPr>
              <w:t>Para </w:t>
            </w:r>
            <w:r>
              <w:rPr>
                <w:b/>
                <w:sz w:val="24"/>
                <w:u w:val="single"/>
              </w:rPr>
              <w:t>uso de la Delegación Regional del OIJ de</w:t>
            </w:r>
            <w:r>
              <w:rPr>
                <w:b/>
                <w:spacing w:val="-2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San</w:t>
            </w:r>
          </w:p>
          <w:p>
            <w:pPr>
              <w:pStyle w:val="TableParagraph"/>
              <w:spacing w:line="480" w:lineRule="auto"/>
              <w:ind w:left="10" w:right="2223" w:firstLine="22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Ramón Especificaciones técnicas: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0" w:val="left" w:leader="none"/>
                <w:tab w:pos="731" w:val="left" w:leader="none"/>
              </w:tabs>
              <w:spacing w:line="292" w:lineRule="exact" w:before="0" w:after="0"/>
              <w:ind w:left="7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Marca y modelo: DJI-Mavic 2 Enterprise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dual.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0" w:val="left" w:leader="none"/>
                <w:tab w:pos="731" w:val="left" w:leader="none"/>
              </w:tabs>
              <w:spacing w:line="240" w:lineRule="auto" w:before="0" w:after="0"/>
              <w:ind w:left="730" w:right="165" w:hanging="360"/>
              <w:jc w:val="left"/>
              <w:rPr>
                <w:sz w:val="24"/>
              </w:rPr>
            </w:pPr>
            <w:r>
              <w:rPr>
                <w:sz w:val="24"/>
              </w:rPr>
              <w:t>Aeronave con cámara dual, smart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4"/>
                <w:sz w:val="24"/>
              </w:rPr>
              <w:t>controller, </w:t>
            </w:r>
            <w:r>
              <w:rPr>
                <w:sz w:val="24"/>
              </w:rPr>
              <w:t>3x par propelas, 1x batería inteligente, cargador para baterías, protector para el gimbal, cable usb tipo c, accesorio parlante, accesorio </w:t>
            </w:r>
            <w:r>
              <w:rPr>
                <w:spacing w:val="-3"/>
                <w:sz w:val="24"/>
              </w:rPr>
              <w:t>faro, </w:t>
            </w:r>
            <w:r>
              <w:rPr>
                <w:sz w:val="24"/>
              </w:rPr>
              <w:t>accesorio luz doble, cables para control remoto, caja de transporte rígida.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0" w:val="left" w:leader="none"/>
                <w:tab w:pos="731" w:val="left" w:leader="none"/>
              </w:tabs>
              <w:spacing w:line="240" w:lineRule="auto" w:before="1" w:after="0"/>
              <w:ind w:left="730" w:right="435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Ver </w:t>
            </w:r>
            <w:r>
              <w:rPr>
                <w:sz w:val="24"/>
              </w:rPr>
              <w:t>demás especificaciones técnicas en la oferta.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" w:right="152"/>
              <w:rPr>
                <w:sz w:val="24"/>
              </w:rPr>
            </w:pPr>
            <w:r>
              <w:rPr>
                <w:sz w:val="24"/>
              </w:rPr>
              <w:t>Precio unitario en la moneda cotizada: $ 4 056 Monto total de la línea en la moneda cotizada:</w:t>
            </w:r>
          </w:p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$ 4 056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1" w:right="14"/>
              <w:jc w:val="center"/>
              <w:rPr>
                <w:sz w:val="24"/>
              </w:rPr>
            </w:pPr>
            <w:r>
              <w:rPr>
                <w:sz w:val="24"/>
              </w:rPr>
              <w:t>¢2,302,510.08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¢2,302,510.08</w:t>
            </w:r>
          </w:p>
        </w:tc>
      </w:tr>
      <w:tr>
        <w:trPr>
          <w:trHeight w:val="29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73" w:lineRule="exact" w:before="1"/>
              <w:ind w:left="21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76" w:type="dxa"/>
          </w:tcPr>
          <w:p>
            <w:pPr>
              <w:pStyle w:val="TableParagraph"/>
              <w:spacing w:line="273" w:lineRule="exact" w:before="1"/>
              <w:ind w:left="63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¢2,302,510.08</w:t>
            </w:r>
          </w:p>
        </w:tc>
      </w:tr>
      <w:tr>
        <w:trPr>
          <w:trHeight w:val="292" w:hRule="atLeast"/>
        </w:trPr>
        <w:tc>
          <w:tcPr>
            <w:tcW w:w="9980" w:type="dxa"/>
            <w:gridSpan w:val="5"/>
          </w:tcPr>
          <w:p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VALOR EN LETRAS: Dos millones trescientos dos mil quinientos diez colones con 08/100.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13" w:right="0" w:firstLine="0"/>
        <w:jc w:val="both"/>
        <w:rPr>
          <w:sz w:val="24"/>
        </w:rPr>
      </w:pPr>
      <w:r>
        <w:rPr>
          <w:b/>
          <w:sz w:val="24"/>
        </w:rPr>
        <w:t>Plazo de entrega: </w:t>
      </w:r>
      <w:r>
        <w:rPr>
          <w:sz w:val="24"/>
        </w:rPr>
        <w:t>22 días hábiles, posterior al comunicado del pedido.</w:t>
      </w:r>
    </w:p>
    <w:p>
      <w:pPr>
        <w:pStyle w:val="BodyText"/>
        <w:spacing w:before="1"/>
        <w:ind w:left="213" w:right="160"/>
        <w:jc w:val="both"/>
      </w:pPr>
      <w:r>
        <w:rPr>
          <w:b/>
        </w:rPr>
        <w:t>Garantía: </w:t>
      </w:r>
      <w:r>
        <w:rPr/>
        <w:t>12 meses para los equipos ofrecidos (aeronave, control remoto y baterías) por defectos de fabricación y funcionamiento, </w:t>
      </w:r>
      <w:r>
        <w:rPr>
          <w:spacing w:val="-2"/>
        </w:rPr>
        <w:t>con </w:t>
      </w:r>
      <w:r>
        <w:rPr/>
        <w:t>soporte de repuestos y actualización hasta por 3 años, relativas actualizaciones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últimas</w:t>
      </w:r>
      <w:r>
        <w:rPr>
          <w:spacing w:val="-6"/>
        </w:rPr>
        <w:t> </w:t>
      </w:r>
      <w:r>
        <w:rPr/>
        <w:t>versiones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actualizaciones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productos,</w:t>
      </w:r>
      <w:r>
        <w:rPr>
          <w:spacing w:val="-8"/>
        </w:rPr>
        <w:t> </w:t>
      </w:r>
      <w:r>
        <w:rPr/>
        <w:t>versiones</w:t>
      </w:r>
      <w:r>
        <w:rPr>
          <w:spacing w:val="-8"/>
        </w:rPr>
        <w:t> </w:t>
      </w:r>
      <w:r>
        <w:rPr/>
        <w:t>de mantenimiento y </w:t>
      </w:r>
      <w:r>
        <w:rPr>
          <w:spacing w:val="-4"/>
        </w:rPr>
        <w:t>“parches”, </w:t>
      </w:r>
      <w:r>
        <w:rPr>
          <w:spacing w:val="-3"/>
        </w:rPr>
        <w:t>ya </w:t>
      </w:r>
      <w:r>
        <w:rPr/>
        <w:t>sea mediante Internet u otro</w:t>
      </w:r>
      <w:r>
        <w:rPr>
          <w:spacing w:val="3"/>
        </w:rPr>
        <w:t> </w:t>
      </w:r>
      <w:r>
        <w:rPr/>
        <w:t>medio.</w:t>
      </w:r>
    </w:p>
    <w:p>
      <w:pPr>
        <w:spacing w:before="1"/>
        <w:ind w:left="213" w:right="0" w:firstLine="0"/>
        <w:jc w:val="both"/>
        <w:rPr>
          <w:sz w:val="24"/>
        </w:rPr>
      </w:pPr>
      <w:r>
        <w:rPr>
          <w:b/>
          <w:sz w:val="24"/>
        </w:rPr>
        <w:t>Lugar de entrega: </w:t>
      </w:r>
      <w:r>
        <w:rPr>
          <w:sz w:val="24"/>
        </w:rPr>
        <w:t>Delegación Regional del OIJ de San Ramón.</w:t>
      </w:r>
    </w:p>
    <w:p>
      <w:pPr>
        <w:spacing w:before="0"/>
        <w:ind w:left="213" w:right="0" w:firstLine="0"/>
        <w:jc w:val="both"/>
        <w:rPr>
          <w:sz w:val="24"/>
        </w:rPr>
      </w:pPr>
      <w:r>
        <w:rPr>
          <w:b/>
          <w:sz w:val="24"/>
        </w:rPr>
        <w:t>Tipo de moneda cotizada: </w:t>
      </w:r>
      <w:r>
        <w:rPr>
          <w:sz w:val="24"/>
        </w:rPr>
        <w:t>Dólar. Tipo de cambio del dólar: $1 = ¢567,68, del 16-03-2020.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Observaciones:</w:t>
      </w:r>
    </w:p>
    <w:p>
      <w:pPr>
        <w:spacing w:after="0"/>
        <w:sectPr>
          <w:type w:val="continuous"/>
          <w:pgSz w:w="12240" w:h="15840"/>
          <w:pgMar w:top="740" w:bottom="280" w:left="900" w:right="1120"/>
        </w:sectPr>
      </w:pPr>
    </w:p>
    <w:p>
      <w:pPr>
        <w:pStyle w:val="BodyText"/>
        <w:spacing w:before="28"/>
        <w:ind w:left="213" w:right="106" w:firstLine="720"/>
        <w:jc w:val="both"/>
      </w:pPr>
      <w:r>
        <w:rPr/>
        <w:t>De conformidad con lo estipulado en los artículos Nos. 86 y 144 del Reglamento a la Ley de Contratación Administrativa, los antecedentes que constan en el expediente de contratación menor No. 2020CD-000006-ARSRCM y el análisis realizado a las ofertas recibidas, se adjudica de la forma descrita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proveedor</w:t>
      </w:r>
      <w:r>
        <w:rPr>
          <w:spacing w:val="-10"/>
        </w:rPr>
        <w:t> </w:t>
      </w:r>
      <w:r>
        <w:rPr>
          <w:b/>
        </w:rPr>
        <w:t>GeoINn</w:t>
      </w:r>
      <w:r>
        <w:rPr>
          <w:b/>
          <w:spacing w:val="-11"/>
        </w:rPr>
        <w:t> </w:t>
      </w:r>
      <w:r>
        <w:rPr>
          <w:b/>
        </w:rPr>
        <w:t>Geospatial</w:t>
      </w:r>
      <w:r>
        <w:rPr>
          <w:b/>
          <w:spacing w:val="-12"/>
        </w:rPr>
        <w:t> </w:t>
      </w:r>
      <w:r>
        <w:rPr>
          <w:b/>
        </w:rPr>
        <w:t>Innovatios</w:t>
      </w:r>
      <w:r>
        <w:rPr>
          <w:b/>
          <w:spacing w:val="-9"/>
        </w:rPr>
        <w:t> </w:t>
      </w:r>
      <w:r>
        <w:rPr>
          <w:b/>
        </w:rPr>
        <w:t>S.A.</w:t>
      </w:r>
      <w:r>
        <w:rPr/>
        <w:t>,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única</w:t>
      </w:r>
      <w:r>
        <w:rPr>
          <w:spacing w:val="-10"/>
        </w:rPr>
        <w:t> </w:t>
      </w:r>
      <w:r>
        <w:rPr/>
        <w:t>oferta</w:t>
      </w:r>
      <w:r>
        <w:rPr>
          <w:spacing w:val="-13"/>
        </w:rPr>
        <w:t> </w:t>
      </w:r>
      <w:r>
        <w:rPr/>
        <w:t>recibida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cumplir con los requerimientos solicitados en el cartel de contratación. Se considera su precio razonable de acuerdo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estudio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mercado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7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parámetros</w:t>
      </w:r>
      <w:r>
        <w:rPr>
          <w:spacing w:val="-7"/>
        </w:rPr>
        <w:t> </w:t>
      </w:r>
      <w:r>
        <w:rPr/>
        <w:t>(%)</w:t>
      </w:r>
      <w:r>
        <w:rPr>
          <w:spacing w:val="-10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 oficina, siendo que esta oferta se encuentra un 8,01% por debajo del margen del presupuesto promedio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línea</w:t>
      </w:r>
      <w:r>
        <w:rPr>
          <w:spacing w:val="-15"/>
        </w:rPr>
        <w:t> </w:t>
      </w:r>
      <w:r>
        <w:rPr/>
        <w:t>1;</w:t>
      </w:r>
      <w:r>
        <w:rPr>
          <w:spacing w:val="-18"/>
        </w:rPr>
        <w:t> </w:t>
      </w:r>
      <w:r>
        <w:rPr/>
        <w:t>además,</w:t>
      </w:r>
      <w:r>
        <w:rPr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cuenta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visto</w:t>
      </w:r>
      <w:r>
        <w:rPr>
          <w:spacing w:val="-15"/>
        </w:rPr>
        <w:t> </w:t>
      </w:r>
      <w:r>
        <w:rPr/>
        <w:t>bueno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licenciada</w:t>
      </w:r>
      <w:r>
        <w:rPr>
          <w:spacing w:val="-14"/>
        </w:rPr>
        <w:t> </w:t>
      </w:r>
      <w:r>
        <w:rPr/>
        <w:t>Melissa</w:t>
      </w:r>
      <w:r>
        <w:rPr>
          <w:spacing w:val="-13"/>
        </w:rPr>
        <w:t> </w:t>
      </w:r>
      <w:r>
        <w:rPr/>
        <w:t>Rodríguez</w:t>
      </w:r>
      <w:r>
        <w:rPr>
          <w:spacing w:val="-14"/>
        </w:rPr>
        <w:t> </w:t>
      </w:r>
      <w:r>
        <w:rPr/>
        <w:t>Sancho, Administradora de la Delegación Regional del OIJ de San Ramón, mediante correo electrónico del 12 de marzo de 2020, visible en folio</w:t>
      </w:r>
      <w:r>
        <w:rPr>
          <w:spacing w:val="-6"/>
        </w:rPr>
        <w:t> </w:t>
      </w:r>
      <w:r>
        <w:rPr/>
        <w:t>44.</w:t>
      </w:r>
    </w:p>
    <w:p>
      <w:pPr>
        <w:pStyle w:val="BodyText"/>
        <w:spacing w:before="1"/>
      </w:pPr>
    </w:p>
    <w:p>
      <w:pPr>
        <w:spacing w:before="0"/>
        <w:ind w:left="934" w:right="0" w:firstLine="0"/>
        <w:jc w:val="left"/>
        <w:rPr>
          <w:b/>
          <w:sz w:val="24"/>
        </w:rPr>
      </w:pPr>
      <w:r>
        <w:rPr>
          <w:sz w:val="24"/>
        </w:rPr>
        <w:t>Esta adjudicación es por un monto total de </w:t>
      </w:r>
      <w:r>
        <w:rPr>
          <w:b/>
          <w:sz w:val="24"/>
        </w:rPr>
        <w:t>¢2,302,510.08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213" w:firstLine="720"/>
      </w:pPr>
      <w:r>
        <w:rPr/>
        <w:t>Todo lo anterior de acuerdo con los términos y condiciones de la solicitud de cotización y la oferta recibida.</w:t>
      </w:r>
    </w:p>
    <w:p>
      <w:pPr>
        <w:pStyle w:val="BodyText"/>
      </w:pPr>
    </w:p>
    <w:p>
      <w:pPr>
        <w:pStyle w:val="BodyText"/>
        <w:ind w:left="213"/>
      </w:pPr>
      <w:r>
        <w:rPr/>
        <w:t>Cordialmente,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660" w:bottom="280" w:left="900" w:right="1120"/>
        </w:sectPr>
      </w:pPr>
    </w:p>
    <w:p>
      <w:pPr>
        <w:spacing w:line="242" w:lineRule="auto" w:before="107"/>
        <w:ind w:left="2662" w:right="0" w:firstLine="0"/>
        <w:jc w:val="left"/>
        <w:rPr>
          <w:sz w:val="27"/>
        </w:rPr>
      </w:pPr>
      <w:r>
        <w:rPr/>
        <w:pict>
          <v:shape style="position:absolute;margin-left:284.961304pt;margin-top:6.330886pt;width:33.050pt;height:32.8pt;mso-position-horizontal-relative:page;mso-position-vertical-relative:paragraph;z-index:-251854848" coordorigin="5699,127" coordsize="661,656" path="m5818,644l5761,681,5724,717,5705,749,5699,772,5699,782,5750,782,5754,781,5712,781,5718,757,5739,722,5774,683,5818,644xm5982,127l5969,135,5962,156,5959,179,5959,195,5959,210,5961,226,5963,243,5966,260,5969,278,5973,297,5977,315,5982,333,5972,370,5945,438,5905,525,5858,616,5807,699,5757,758,5712,781,5754,781,5756,780,5791,750,5833,696,5883,617,5889,615,5883,615,5931,528,5962,460,5982,409,5994,370,6017,370,6003,331,6007,297,5994,297,5986,267,5981,239,5978,212,5977,188,5977,178,5979,161,5983,143,5991,131,6008,131,5999,127,5982,127xm6353,614l6334,614,6327,620,6327,638,6334,645,6353,645,6356,642,6336,642,6330,636,6330,622,6336,617,6356,617,6353,614xm6356,617l6351,617,6356,622,6356,636,6351,642,6356,642,6360,638,6360,620,6356,617xm6348,619l6337,619,6337,638,6340,638,6340,631,6349,631,6348,630,6346,630,6350,628,6340,628,6340,623,6350,623,6350,622,6348,619xm6349,631l6344,631,6346,633,6346,635,6347,638,6350,638,6350,635,6350,632,6349,631xm6350,623l6345,623,6346,624,6346,628,6344,628,6350,628,6350,626,6350,623xm6017,370l5994,370,6030,443,6068,493,6103,524,6132,543,6071,555,6008,571,5945,591,5883,615,5889,615,5946,598,6015,582,6086,569,6157,560,6207,560,6196,555,6242,553,6346,553,6329,544,6303,538,6167,538,6151,529,6136,520,6121,510,6106,499,6073,465,6044,425,6021,379,6017,370xm6207,560l6157,560,6201,580,6244,595,6285,604,6318,608,6339,608,6350,603,6352,597,6332,597,6306,594,6273,585,6235,572,6207,560xm6353,592l6348,594,6341,597,6352,597,6353,592xm6346,553l6242,553,6295,554,6338,564,6356,585,6358,580,6360,578,6360,573,6352,556,6346,553xm6247,534l6229,534,6210,535,6167,538,6303,538,6293,536,6247,534xm6014,182l6010,202,6006,227,6001,259,5994,297,6007,297,6008,292,6011,255,6013,219,6014,182xm6008,131l5991,131,5998,135,6005,143,6011,154,6014,170,6017,145,6011,132,6008,131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27"/>
        </w:rPr>
        <w:t>AURA ESTELA YANES QUINTANA (FIRMA)</w:t>
      </w:r>
    </w:p>
    <w:p>
      <w:pPr>
        <w:spacing w:before="149"/>
        <w:ind w:left="64" w:right="2631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Firmado digitalmente por AURA ESTELA YANES QUINTANA (FIRMA) Fecha: 2020.03.18 08:38:57 -06'00'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40" w:bottom="280" w:left="900" w:right="1120"/>
          <w:cols w:num="2" w:equalWidth="0">
            <w:col w:w="5072" w:space="40"/>
            <w:col w:w="5108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13"/>
      </w:pPr>
      <w:r>
        <w:rPr/>
        <w:t>AYQ/mcb</w:t>
      </w:r>
    </w:p>
    <w:p>
      <w:pPr>
        <w:pStyle w:val="BodyText"/>
        <w:ind w:left="213"/>
      </w:pPr>
      <w:r>
        <w:rPr/>
        <w:t>C: diligencias</w:t>
      </w:r>
    </w:p>
    <w:p>
      <w:pPr>
        <w:pStyle w:val="BodyText"/>
        <w:spacing w:before="106"/>
        <w:ind w:left="213" w:right="2245" w:firstLine="604"/>
      </w:pPr>
      <w:r>
        <w:rPr/>
        <w:br w:type="column"/>
      </w:r>
      <w:r>
        <w:rPr/>
        <w:t>Licda. Aura Yanes Quintana Administradora Regional de San Ramón</w:t>
      </w:r>
    </w:p>
    <w:sectPr>
      <w:type w:val="continuous"/>
      <w:pgSz w:w="12240" w:h="15840"/>
      <w:pgMar w:top="740" w:bottom="280" w:left="900" w:right="1120"/>
      <w:cols w:num="2" w:equalWidth="0">
        <w:col w:w="1516" w:space="1482"/>
        <w:col w:w="7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w w:val="101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31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07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523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96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86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cion-sra@poder-judicial.go.c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Prado</dc:creator>
  <dc:title>Contratación Directa No</dc:title>
  <dcterms:created xsi:type="dcterms:W3CDTF">2020-05-07T19:18:54Z</dcterms:created>
  <dcterms:modified xsi:type="dcterms:W3CDTF">2020-05-07T19:18:54Z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