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 w:lineRule="exact"/>
        <w:ind w:left="-348"/>
        <w:rPr>
          <w:rFonts w:ascii="Times New Roman"/>
          <w:sz w:val="2"/>
        </w:rPr>
      </w:pPr>
      <w:r>
        <w:rPr>
          <w:rFonts w:ascii="Times New Roman"/>
          <w:sz w:val="2"/>
        </w:rPr>
        <w:pict>
          <v:group style="width:492.4pt;height:1.2pt;mso-position-horizontal-relative:char;mso-position-vertical-relative:line" coordorigin="0,0" coordsize="9848,24">
            <v:line style="position:absolute" from="7,7" to="9840,16" stroked="true" strokeweight=".737pt" strokecolor="#0000ff">
              <v:stroke dashstyle="solid"/>
            </v:line>
          </v:group>
        </w:pict>
      </w:r>
      <w:r>
        <w:rPr>
          <w:rFonts w:ascii="Times New Roman"/>
          <w:sz w:val="2"/>
        </w:rPr>
      </w:r>
    </w:p>
    <w:p>
      <w:pPr>
        <w:pStyle w:val="BodyText"/>
        <w:spacing w:before="3"/>
        <w:rPr>
          <w:rFonts w:ascii="Times New Roman"/>
          <w:sz w:val="29"/>
        </w:rPr>
      </w:pPr>
    </w:p>
    <w:p>
      <w:pPr>
        <w:pStyle w:val="Heading3"/>
        <w:spacing w:before="56"/>
        <w:ind w:right="1340"/>
      </w:pPr>
      <w:r>
        <w:rPr/>
        <w:t>Contratación Menor 2020CD-000015-ARPCM</w:t>
      </w:r>
    </w:p>
    <w:p>
      <w:pPr>
        <w:pStyle w:val="BodyText"/>
        <w:spacing w:before="11"/>
        <w:rPr>
          <w:b/>
          <w:sz w:val="19"/>
        </w:rPr>
      </w:pPr>
    </w:p>
    <w:p>
      <w:pPr>
        <w:spacing w:before="1"/>
        <w:ind w:left="1345" w:right="1338" w:firstLine="0"/>
        <w:jc w:val="center"/>
        <w:rPr>
          <w:b/>
          <w:sz w:val="22"/>
        </w:rPr>
      </w:pPr>
      <w:r>
        <w:rPr>
          <w:b/>
          <w:sz w:val="22"/>
        </w:rPr>
        <w:t>Compra de cascos kevlar y escudo balístico para el OIJ de Puntarenas</w:t>
      </w:r>
    </w:p>
    <w:p>
      <w:pPr>
        <w:spacing w:before="2"/>
        <w:ind w:left="1345" w:right="1340" w:firstLine="0"/>
        <w:jc w:val="center"/>
        <w:rPr>
          <w:b/>
          <w:sz w:val="20"/>
        </w:rPr>
      </w:pPr>
      <w:r>
        <w:rPr>
          <w:sz w:val="20"/>
        </w:rPr>
        <w:t>El Poder Judicial recibirá ofertas para la adquisición de</w:t>
      </w:r>
      <w:r>
        <w:rPr>
          <w:b/>
          <w:sz w:val="20"/>
        </w:rPr>
        <w:t>, </w:t>
      </w:r>
      <w:r>
        <w:rPr>
          <w:sz w:val="20"/>
        </w:rPr>
        <w:t>hasta </w:t>
      </w:r>
      <w:r>
        <w:rPr>
          <w:b/>
          <w:sz w:val="20"/>
        </w:rPr>
        <w:t>las 14:30 horas del 12 de mayo de 2020.</w:t>
      </w:r>
    </w:p>
    <w:p>
      <w:pPr>
        <w:pStyle w:val="BodyText"/>
        <w:spacing w:before="7"/>
        <w:rPr>
          <w:b/>
          <w:sz w:val="22"/>
        </w:rPr>
      </w:pPr>
    </w:p>
    <w:p>
      <w:pPr>
        <w:pStyle w:val="BodyText"/>
        <w:ind w:left="227" w:right="214"/>
        <w:jc w:val="both"/>
      </w:pPr>
      <w:r>
        <w:rPr/>
        <w:t>Las ofertas pueden entregarse en sobre cerrado en la Recepción de la Administración Regional de Puntarenas, sita frente a los Tribunales de Justicia del Poder Judicial de Puntarenas, ubicado 100 metros al oeste y 50 al sur de la Catedral de Puntarenas, local color crema, para este caso es indispensable que en el sobre se especifique el nombre, cédula del oferente y número de contratación </w:t>
      </w:r>
      <w:hyperlink r:id="rId6">
        <w:r>
          <w:rPr>
            <w:b/>
            <w:u w:val="single"/>
          </w:rPr>
          <w:t>o bien puede por correo electrónico apena@poder-judicial.go.cr siempre y cuando el documento sea firmado</w:t>
        </w:r>
      </w:hyperlink>
      <w:r>
        <w:rPr>
          <w:b/>
        </w:rPr>
        <w:t> </w:t>
      </w:r>
      <w:r>
        <w:rPr>
          <w:b/>
          <w:u w:val="single"/>
        </w:rPr>
        <w:t>digitalmente</w:t>
      </w:r>
      <w:r>
        <w:rPr/>
        <w:t>, en este último caso se debe considerar que la capacidad máxima de envío por este medio en la institución es de 4 Megas.</w:t>
      </w:r>
    </w:p>
    <w:p>
      <w:pPr>
        <w:pStyle w:val="BodyText"/>
        <w:spacing w:before="3"/>
      </w:pPr>
    </w:p>
    <w:p>
      <w:pPr>
        <w:pStyle w:val="Heading4"/>
        <w:ind w:left="512"/>
      </w:pPr>
      <w:r>
        <w:rPr/>
        <w:t>Para consultas o aclaraciones:</w:t>
      </w:r>
    </w:p>
    <w:p>
      <w:pPr>
        <w:pStyle w:val="BodyText"/>
        <w:rPr>
          <w:b/>
          <w:sz w:val="17"/>
        </w:rPr>
      </w:pPr>
      <w:r>
        <w:rPr/>
        <w:pict>
          <v:shape style="position:absolute;margin-left:22.799999pt;margin-top:12.549347pt;width:540.2pt;height:26.65pt;mso-position-horizontal-relative:page;mso-position-vertical-relative:paragraph;z-index:-251657216;mso-wrap-distance-left:0;mso-wrap-distance-right:0" type="#_x0000_t202" filled="false" stroked="true" strokeweight=".401pt" strokecolor="#000000">
            <v:textbox inset="0,0,0,0">
              <w:txbxContent>
                <w:p>
                  <w:pPr>
                    <w:spacing w:before="17"/>
                    <w:ind w:left="107" w:right="0" w:firstLine="0"/>
                    <w:jc w:val="left"/>
                    <w:rPr>
                      <w:b/>
                      <w:sz w:val="20"/>
                    </w:rPr>
                  </w:pPr>
                  <w:r>
                    <w:rPr>
                      <w:sz w:val="20"/>
                    </w:rPr>
                    <w:t>El o la oferente puede comunicarse con la señora </w:t>
                  </w:r>
                  <w:r>
                    <w:rPr>
                      <w:b/>
                      <w:sz w:val="20"/>
                    </w:rPr>
                    <w:t>Ariana Peña Alvarado</w:t>
                  </w:r>
                  <w:r>
                    <w:rPr>
                      <w:sz w:val="20"/>
                    </w:rPr>
                    <w:t>, al teléfono </w:t>
                  </w:r>
                  <w:r>
                    <w:rPr>
                      <w:b/>
                      <w:sz w:val="20"/>
                    </w:rPr>
                    <w:t>2630-0348 </w:t>
                  </w:r>
                  <w:r>
                    <w:rPr>
                      <w:sz w:val="20"/>
                    </w:rPr>
                    <w:t>o al correo </w:t>
                  </w:r>
                  <w:r>
                    <w:rPr>
                      <w:b/>
                      <w:color w:val="0000FF"/>
                      <w:sz w:val="20"/>
                    </w:rPr>
                    <w:t>apena</w:t>
                  </w:r>
                  <w:hyperlink r:id="rId7">
                    <w:r>
                      <w:rPr>
                        <w:b/>
                        <w:color w:val="0000FF"/>
                        <w:sz w:val="20"/>
                        <w:u w:val="single" w:color="0000FF"/>
                      </w:rPr>
                      <w:t>@poder-</w:t>
                    </w:r>
                  </w:hyperlink>
                  <w:r>
                    <w:rPr>
                      <w:b/>
                      <w:color w:val="0000FF"/>
                      <w:sz w:val="20"/>
                    </w:rPr>
                    <w:t> </w:t>
                  </w:r>
                  <w:hyperlink r:id="rId7">
                    <w:r>
                      <w:rPr>
                        <w:b/>
                        <w:color w:val="0000FF"/>
                        <w:sz w:val="20"/>
                        <w:u w:val="single" w:color="0000FF"/>
                      </w:rPr>
                      <w:t>judicial.go.cr</w:t>
                    </w:r>
                  </w:hyperlink>
                </w:p>
              </w:txbxContent>
            </v:textbox>
            <v:stroke dashstyle="solid"/>
            <w10:wrap type="topAndBottom"/>
          </v:shape>
        </w:pict>
      </w:r>
    </w:p>
    <w:p>
      <w:pPr>
        <w:pStyle w:val="BodyText"/>
        <w:spacing w:before="2"/>
        <w:rPr>
          <w:b/>
          <w:sz w:val="13"/>
        </w:rPr>
      </w:pPr>
    </w:p>
    <w:p>
      <w:pPr>
        <w:pStyle w:val="ListParagraph"/>
        <w:numPr>
          <w:ilvl w:val="0"/>
          <w:numId w:val="1"/>
        </w:numPr>
        <w:tabs>
          <w:tab w:pos="425" w:val="left" w:leader="none"/>
        </w:tabs>
        <w:spacing w:line="240" w:lineRule="auto" w:before="60" w:after="0"/>
        <w:ind w:left="424" w:right="0" w:hanging="198"/>
        <w:jc w:val="left"/>
        <w:rPr>
          <w:b/>
          <w:sz w:val="20"/>
        </w:rPr>
      </w:pPr>
      <w:r>
        <w:rPr>
          <w:b/>
          <w:sz w:val="20"/>
        </w:rPr>
        <w:t>Datos del o la</w:t>
      </w:r>
      <w:r>
        <w:rPr>
          <w:b/>
          <w:spacing w:val="-2"/>
          <w:sz w:val="20"/>
        </w:rPr>
        <w:t> </w:t>
      </w:r>
      <w:r>
        <w:rPr>
          <w:b/>
          <w:sz w:val="20"/>
        </w:rPr>
        <w:t>oferente:</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6"/>
        <w:gridCol w:w="6096"/>
      </w:tblGrid>
      <w:tr>
        <w:trPr>
          <w:trHeight w:val="273" w:hRule="atLeast"/>
        </w:trPr>
        <w:tc>
          <w:tcPr>
            <w:tcW w:w="4536" w:type="dxa"/>
          </w:tcPr>
          <w:p>
            <w:pPr>
              <w:pStyle w:val="TableParagraph"/>
              <w:ind w:left="106"/>
              <w:rPr>
                <w:sz w:val="20"/>
              </w:rPr>
            </w:pPr>
            <w:r>
              <w:rPr>
                <w:sz w:val="20"/>
              </w:rPr>
              <w:t>Nombre del o la oferente</w:t>
            </w:r>
          </w:p>
        </w:tc>
        <w:tc>
          <w:tcPr>
            <w:tcW w:w="6096" w:type="dxa"/>
            <w:shd w:val="clear" w:color="auto" w:fill="E6E6E6"/>
          </w:tcPr>
          <w:p>
            <w:pPr>
              <w:pStyle w:val="TableParagraph"/>
              <w:spacing w:line="254" w:lineRule="exact"/>
              <w:ind w:left="107"/>
              <w:rPr>
                <w:rFonts w:ascii="Times New Roman" w:hAnsi="Times New Roman"/>
                <w:sz w:val="24"/>
              </w:rPr>
            </w:pPr>
            <w:r>
              <w:rPr>
                <w:rFonts w:ascii="Times New Roman" w:hAnsi="Times New Roman"/>
                <w:sz w:val="24"/>
              </w:rPr>
              <w:t>3-101-777192 (Nombre fantasía: Marluvas)</w:t>
            </w:r>
          </w:p>
        </w:tc>
      </w:tr>
      <w:tr>
        <w:trPr>
          <w:trHeight w:val="277" w:hRule="atLeast"/>
        </w:trPr>
        <w:tc>
          <w:tcPr>
            <w:tcW w:w="4536" w:type="dxa"/>
          </w:tcPr>
          <w:p>
            <w:pPr>
              <w:pStyle w:val="TableParagraph"/>
              <w:spacing w:before="4"/>
              <w:ind w:left="106"/>
              <w:rPr>
                <w:sz w:val="20"/>
              </w:rPr>
            </w:pPr>
            <w:r>
              <w:rPr>
                <w:sz w:val="20"/>
              </w:rPr>
              <w:t>Cédula jurídica/cédula física</w:t>
            </w:r>
          </w:p>
        </w:tc>
        <w:tc>
          <w:tcPr>
            <w:tcW w:w="6096" w:type="dxa"/>
            <w:shd w:val="clear" w:color="auto" w:fill="E6E6E6"/>
          </w:tcPr>
          <w:p>
            <w:pPr>
              <w:pStyle w:val="TableParagraph"/>
              <w:spacing w:line="255" w:lineRule="exact" w:before="3"/>
              <w:ind w:left="107"/>
              <w:rPr>
                <w:rFonts w:ascii="Times New Roman"/>
                <w:sz w:val="24"/>
              </w:rPr>
            </w:pPr>
            <w:r>
              <w:rPr>
                <w:rFonts w:ascii="Times New Roman"/>
                <w:sz w:val="24"/>
              </w:rPr>
              <w:t>3-101-777192</w:t>
            </w:r>
          </w:p>
        </w:tc>
      </w:tr>
      <w:tr>
        <w:trPr>
          <w:trHeight w:val="274" w:hRule="atLeast"/>
        </w:trPr>
        <w:tc>
          <w:tcPr>
            <w:tcW w:w="4536" w:type="dxa"/>
          </w:tcPr>
          <w:p>
            <w:pPr>
              <w:pStyle w:val="TableParagraph"/>
              <w:ind w:left="106"/>
              <w:rPr>
                <w:sz w:val="20"/>
              </w:rPr>
            </w:pPr>
            <w:r>
              <w:rPr>
                <w:sz w:val="20"/>
              </w:rPr>
              <w:t>Nombre del o la representante legal</w:t>
            </w:r>
          </w:p>
        </w:tc>
        <w:tc>
          <w:tcPr>
            <w:tcW w:w="6096" w:type="dxa"/>
            <w:shd w:val="clear" w:color="auto" w:fill="E6E6E6"/>
          </w:tcPr>
          <w:p>
            <w:pPr>
              <w:pStyle w:val="TableParagraph"/>
              <w:tabs>
                <w:tab w:pos="2210" w:val="left" w:leader="none"/>
              </w:tabs>
              <w:spacing w:line="254" w:lineRule="exact"/>
              <w:ind w:left="107"/>
              <w:rPr>
                <w:rFonts w:ascii="Times New Roman" w:hAnsi="Times New Roman"/>
                <w:sz w:val="24"/>
              </w:rPr>
            </w:pPr>
            <w:r>
              <w:rPr>
                <w:rFonts w:ascii="Times New Roman" w:hAnsi="Times New Roman"/>
                <w:sz w:val="24"/>
              </w:rPr>
              <w:t>Adrián</w:t>
            </w:r>
            <w:r>
              <w:rPr>
                <w:rFonts w:ascii="Times New Roman" w:hAnsi="Times New Roman"/>
                <w:spacing w:val="1"/>
                <w:sz w:val="24"/>
              </w:rPr>
              <w:t> </w:t>
            </w:r>
            <w:r>
              <w:rPr>
                <w:rFonts w:ascii="Times New Roman" w:hAnsi="Times New Roman"/>
                <w:sz w:val="24"/>
              </w:rPr>
              <w:t>Alfaro</w:t>
            </w:r>
            <w:r>
              <w:rPr>
                <w:rFonts w:ascii="Times New Roman" w:hAnsi="Times New Roman"/>
                <w:spacing w:val="-2"/>
                <w:sz w:val="24"/>
              </w:rPr>
              <w:t> </w:t>
            </w:r>
            <w:r>
              <w:rPr>
                <w:rFonts w:ascii="Times New Roman" w:hAnsi="Times New Roman"/>
                <w:sz w:val="24"/>
              </w:rPr>
              <w:t>Ruiz</w:t>
              <w:tab/>
              <w:t>1-0675-0345</w:t>
            </w:r>
          </w:p>
        </w:tc>
      </w:tr>
      <w:tr>
        <w:trPr>
          <w:trHeight w:val="278" w:hRule="atLeast"/>
        </w:trPr>
        <w:tc>
          <w:tcPr>
            <w:tcW w:w="4536" w:type="dxa"/>
          </w:tcPr>
          <w:p>
            <w:pPr>
              <w:pStyle w:val="TableParagraph"/>
              <w:spacing w:before="4"/>
              <w:ind w:left="106"/>
              <w:rPr>
                <w:sz w:val="20"/>
              </w:rPr>
            </w:pPr>
            <w:r>
              <w:rPr>
                <w:sz w:val="20"/>
              </w:rPr>
              <w:t>Número de teléfono</w:t>
            </w:r>
          </w:p>
        </w:tc>
        <w:tc>
          <w:tcPr>
            <w:tcW w:w="6096" w:type="dxa"/>
            <w:shd w:val="clear" w:color="auto" w:fill="E6E6E6"/>
          </w:tcPr>
          <w:p>
            <w:pPr>
              <w:pStyle w:val="TableParagraph"/>
              <w:spacing w:line="255" w:lineRule="exact" w:before="3"/>
              <w:ind w:left="107"/>
              <w:rPr>
                <w:rFonts w:ascii="Times New Roman"/>
                <w:sz w:val="24"/>
              </w:rPr>
            </w:pPr>
            <w:r>
              <w:rPr>
                <w:rFonts w:ascii="Times New Roman"/>
                <w:sz w:val="24"/>
              </w:rPr>
              <w:t>2240-8462</w:t>
            </w:r>
          </w:p>
        </w:tc>
      </w:tr>
      <w:tr>
        <w:trPr>
          <w:trHeight w:val="273" w:hRule="atLeast"/>
        </w:trPr>
        <w:tc>
          <w:tcPr>
            <w:tcW w:w="4536" w:type="dxa"/>
          </w:tcPr>
          <w:p>
            <w:pPr>
              <w:pStyle w:val="TableParagraph"/>
              <w:ind w:left="106"/>
              <w:rPr>
                <w:sz w:val="20"/>
              </w:rPr>
            </w:pPr>
            <w:r>
              <w:rPr>
                <w:sz w:val="20"/>
              </w:rPr>
              <w:t>Correo electrónico</w:t>
            </w:r>
          </w:p>
        </w:tc>
        <w:tc>
          <w:tcPr>
            <w:tcW w:w="6096" w:type="dxa"/>
            <w:shd w:val="clear" w:color="auto" w:fill="E6E6E6"/>
          </w:tcPr>
          <w:p>
            <w:pPr>
              <w:pStyle w:val="TableParagraph"/>
              <w:spacing w:line="254" w:lineRule="exact"/>
              <w:ind w:left="107"/>
              <w:rPr>
                <w:rFonts w:ascii="Times New Roman"/>
                <w:sz w:val="24"/>
              </w:rPr>
            </w:pPr>
            <w:hyperlink r:id="rId8">
              <w:r>
                <w:rPr>
                  <w:rFonts w:ascii="Times New Roman"/>
                  <w:sz w:val="24"/>
                </w:rPr>
                <w:t>info@marluvas.net</w:t>
              </w:r>
            </w:hyperlink>
          </w:p>
        </w:tc>
      </w:tr>
      <w:tr>
        <w:trPr>
          <w:trHeight w:val="277" w:hRule="atLeast"/>
        </w:trPr>
        <w:tc>
          <w:tcPr>
            <w:tcW w:w="4536" w:type="dxa"/>
          </w:tcPr>
          <w:p>
            <w:pPr>
              <w:pStyle w:val="TableParagraph"/>
              <w:spacing w:before="4"/>
              <w:ind w:left="106"/>
              <w:rPr>
                <w:sz w:val="20"/>
              </w:rPr>
            </w:pPr>
            <w:r>
              <w:rPr>
                <w:sz w:val="20"/>
              </w:rPr>
              <w:t>Medio oficial de notificación</w:t>
            </w:r>
          </w:p>
        </w:tc>
        <w:tc>
          <w:tcPr>
            <w:tcW w:w="6096" w:type="dxa"/>
            <w:shd w:val="clear" w:color="auto" w:fill="E6E6E6"/>
          </w:tcPr>
          <w:p>
            <w:pPr>
              <w:pStyle w:val="TableParagraph"/>
              <w:spacing w:line="255" w:lineRule="exact" w:before="3"/>
              <w:ind w:left="107"/>
              <w:rPr>
                <w:rFonts w:ascii="Times New Roman"/>
                <w:sz w:val="24"/>
              </w:rPr>
            </w:pPr>
            <w:hyperlink r:id="rId8">
              <w:r>
                <w:rPr>
                  <w:rFonts w:ascii="Times New Roman"/>
                  <w:sz w:val="24"/>
                </w:rPr>
                <w:t>info@marluvas.net</w:t>
              </w:r>
            </w:hyperlink>
          </w:p>
        </w:tc>
      </w:tr>
      <w:tr>
        <w:trPr>
          <w:trHeight w:val="274" w:hRule="atLeast"/>
        </w:trPr>
        <w:tc>
          <w:tcPr>
            <w:tcW w:w="4536" w:type="dxa"/>
          </w:tcPr>
          <w:p>
            <w:pPr>
              <w:pStyle w:val="TableParagraph"/>
              <w:ind w:left="106"/>
              <w:rPr>
                <w:sz w:val="20"/>
              </w:rPr>
            </w:pPr>
            <w:r>
              <w:rPr>
                <w:sz w:val="20"/>
              </w:rPr>
              <w:t>Número de fax</w:t>
            </w:r>
          </w:p>
        </w:tc>
        <w:tc>
          <w:tcPr>
            <w:tcW w:w="6096" w:type="dxa"/>
            <w:shd w:val="clear" w:color="auto" w:fill="E6E6E6"/>
          </w:tcPr>
          <w:p>
            <w:pPr>
              <w:pStyle w:val="TableParagraph"/>
              <w:rPr>
                <w:rFonts w:ascii="Times New Roman"/>
                <w:sz w:val="20"/>
              </w:rPr>
            </w:pPr>
          </w:p>
        </w:tc>
      </w:tr>
      <w:tr>
        <w:trPr>
          <w:trHeight w:val="277" w:hRule="atLeast"/>
        </w:trPr>
        <w:tc>
          <w:tcPr>
            <w:tcW w:w="4536" w:type="dxa"/>
          </w:tcPr>
          <w:p>
            <w:pPr>
              <w:pStyle w:val="TableParagraph"/>
              <w:spacing w:before="4"/>
              <w:ind w:left="106"/>
              <w:rPr>
                <w:sz w:val="20"/>
              </w:rPr>
            </w:pPr>
            <w:r>
              <w:rPr>
                <w:sz w:val="20"/>
              </w:rPr>
              <w:t>Nombre de la persona encargada del procedimiento</w:t>
            </w:r>
          </w:p>
        </w:tc>
        <w:tc>
          <w:tcPr>
            <w:tcW w:w="6096" w:type="dxa"/>
            <w:shd w:val="clear" w:color="auto" w:fill="E6E6E6"/>
          </w:tcPr>
          <w:p>
            <w:pPr>
              <w:pStyle w:val="TableParagraph"/>
              <w:spacing w:line="255" w:lineRule="exact" w:before="3"/>
              <w:ind w:left="107"/>
              <w:rPr>
                <w:rFonts w:ascii="Times New Roman" w:hAnsi="Times New Roman"/>
                <w:sz w:val="24"/>
              </w:rPr>
            </w:pPr>
            <w:r>
              <w:rPr>
                <w:rFonts w:ascii="Times New Roman" w:hAnsi="Times New Roman"/>
                <w:sz w:val="24"/>
              </w:rPr>
              <w:t>Adrián Alfaro Ruiz</w:t>
            </w:r>
          </w:p>
        </w:tc>
      </w:tr>
      <w:tr>
        <w:trPr>
          <w:trHeight w:val="485" w:hRule="atLeast"/>
        </w:trPr>
        <w:tc>
          <w:tcPr>
            <w:tcW w:w="4536" w:type="dxa"/>
          </w:tcPr>
          <w:p>
            <w:pPr>
              <w:pStyle w:val="TableParagraph"/>
              <w:spacing w:line="240" w:lineRule="atLeast"/>
              <w:ind w:left="106"/>
              <w:rPr>
                <w:sz w:val="20"/>
              </w:rPr>
            </w:pPr>
            <w:r>
              <w:rPr>
                <w:sz w:val="20"/>
              </w:rPr>
              <w:t>Número de teléfono de la persona encargada del procedimiento</w:t>
            </w:r>
          </w:p>
        </w:tc>
        <w:tc>
          <w:tcPr>
            <w:tcW w:w="6096" w:type="dxa"/>
            <w:shd w:val="clear" w:color="auto" w:fill="E6E6E6"/>
          </w:tcPr>
          <w:p>
            <w:pPr>
              <w:pStyle w:val="TableParagraph"/>
              <w:spacing w:line="275" w:lineRule="exact"/>
              <w:ind w:left="107"/>
              <w:rPr>
                <w:rFonts w:ascii="Times New Roman"/>
                <w:sz w:val="24"/>
              </w:rPr>
            </w:pPr>
            <w:r>
              <w:rPr>
                <w:rFonts w:ascii="Times New Roman"/>
                <w:sz w:val="24"/>
              </w:rPr>
              <w:t>2240-8462</w:t>
            </w:r>
            <w:r>
              <w:rPr>
                <w:rFonts w:ascii="Times New Roman"/>
                <w:spacing w:val="59"/>
                <w:sz w:val="24"/>
              </w:rPr>
              <w:t> </w:t>
            </w:r>
            <w:r>
              <w:rPr>
                <w:rFonts w:ascii="Times New Roman"/>
                <w:sz w:val="24"/>
              </w:rPr>
              <w:t>8384-1486</w:t>
            </w:r>
          </w:p>
        </w:tc>
      </w:tr>
      <w:tr>
        <w:trPr>
          <w:trHeight w:val="275" w:hRule="atLeast"/>
        </w:trPr>
        <w:tc>
          <w:tcPr>
            <w:tcW w:w="4536" w:type="dxa"/>
          </w:tcPr>
          <w:p>
            <w:pPr>
              <w:pStyle w:val="TableParagraph"/>
              <w:spacing w:before="2"/>
              <w:ind w:left="106"/>
              <w:rPr>
                <w:sz w:val="20"/>
              </w:rPr>
            </w:pPr>
            <w:r>
              <w:rPr>
                <w:sz w:val="20"/>
              </w:rPr>
              <w:t>Dirección exacta de la empresa</w:t>
            </w:r>
          </w:p>
        </w:tc>
        <w:tc>
          <w:tcPr>
            <w:tcW w:w="6096" w:type="dxa"/>
            <w:shd w:val="clear" w:color="auto" w:fill="E6E6E6"/>
          </w:tcPr>
          <w:p>
            <w:pPr>
              <w:pStyle w:val="TableParagraph"/>
              <w:spacing w:line="255" w:lineRule="exact"/>
              <w:ind w:left="107"/>
              <w:rPr>
                <w:rFonts w:ascii="Times New Roman" w:hAnsi="Times New Roman"/>
                <w:sz w:val="24"/>
              </w:rPr>
            </w:pPr>
            <w:r>
              <w:rPr>
                <w:rFonts w:ascii="Times New Roman" w:hAnsi="Times New Roman"/>
                <w:sz w:val="24"/>
              </w:rPr>
              <w:t>San José, Moravia, Barrio La Guaria, Scouts 50N, #60</w:t>
            </w:r>
          </w:p>
        </w:tc>
      </w:tr>
    </w:tbl>
    <w:p>
      <w:pPr>
        <w:pStyle w:val="BodyText"/>
        <w:spacing w:before="11"/>
        <w:rPr>
          <w:b/>
          <w:sz w:val="19"/>
        </w:rPr>
      </w:pPr>
    </w:p>
    <w:p>
      <w:pPr>
        <w:spacing w:before="1"/>
        <w:ind w:left="227" w:right="0" w:firstLine="0"/>
        <w:jc w:val="both"/>
        <w:rPr>
          <w:b/>
          <w:sz w:val="20"/>
        </w:rPr>
      </w:pPr>
      <w:r>
        <w:rPr>
          <w:b/>
          <w:sz w:val="20"/>
        </w:rPr>
        <w:t>Medio oficial de notificación</w:t>
      </w:r>
    </w:p>
    <w:p>
      <w:pPr>
        <w:pStyle w:val="BodyText"/>
        <w:spacing w:before="3"/>
        <w:ind w:left="227" w:right="219"/>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spacing w:before="12"/>
        <w:rPr>
          <w:sz w:val="19"/>
        </w:rPr>
      </w:pPr>
    </w:p>
    <w:p>
      <w:pPr>
        <w:pStyle w:val="BodyText"/>
        <w:ind w:left="227" w:right="219"/>
        <w:jc w:val="both"/>
      </w:pPr>
      <w:r>
        <w:rPr/>
        <w:t>La validación de correos electrónicos se realizará mediante el Sistema de Validación de Cuentas de Correo Electrónico, mismo que se podrá acceder a la dirección electrónica </w:t>
      </w:r>
      <w:hyperlink r:id="rId9">
        <w:r>
          <w:rPr>
            <w:color w:val="0000FF"/>
            <w:u w:val="single" w:color="0000FF"/>
          </w:rPr>
          <w:t>https://pjenlinea.poder-judicial.go.cr/vcce.userinterface/</w:t>
        </w:r>
        <w:r>
          <w:rPr>
            <w:color w:val="0000FF"/>
          </w:rPr>
          <w:t> </w:t>
        </w:r>
      </w:hyperlink>
      <w:r>
        <w:rPr/>
        <w:t>o ingresando a la página del Poder Judicial </w:t>
      </w:r>
      <w:hyperlink r:id="rId10">
        <w:r>
          <w:rPr>
            <w:color w:val="0000FF"/>
            <w:u w:val="single" w:color="0000FF"/>
          </w:rPr>
          <w:t>www.poder-judicial.go.cr</w:t>
        </w:r>
        <w:r>
          <w:rPr>
            <w:color w:val="0000FF"/>
          </w:rPr>
          <w:t> </w:t>
        </w:r>
      </w:hyperlink>
      <w:r>
        <w:rPr/>
        <w:t>a la opción "Trámites en Línea“ y luego a “Registro y Validación de la Cuenta de Correo para Recibir Notificaciones". Para cualquier duda o consulta sobre el trámite de validación de cuentas de correo electrónico deberá comunicarse con Claudia Rosales Sánchez al teléfono 2295-4243 o al correo electrónico </w:t>
      </w:r>
      <w:hyperlink r:id="rId11">
        <w:r>
          <w:rPr>
            <w:color w:val="0000FF"/>
            <w:u w:val="single" w:color="0000FF"/>
          </w:rPr>
          <w:t>crosales@poder-judicial.go.cr</w:t>
        </w:r>
        <w:r>
          <w:rPr/>
          <w:t>.</w:t>
        </w:r>
      </w:hyperlink>
    </w:p>
    <w:p>
      <w:pPr>
        <w:pStyle w:val="BodyText"/>
        <w:rPr>
          <w:sz w:val="15"/>
        </w:rPr>
      </w:pPr>
    </w:p>
    <w:p>
      <w:pPr>
        <w:pStyle w:val="BodyText"/>
        <w:spacing w:before="60"/>
        <w:ind w:left="227" w:right="218"/>
        <w:jc w:val="both"/>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w:t>
      </w:r>
      <w:r>
        <w:rPr>
          <w:spacing w:val="-4"/>
        </w:rPr>
        <w:t> </w:t>
      </w:r>
      <w:r>
        <w:rPr/>
        <w:t>a</w:t>
      </w:r>
      <w:r>
        <w:rPr>
          <w:spacing w:val="1"/>
        </w:rPr>
        <w:t> </w:t>
      </w:r>
      <w:r>
        <w:rPr/>
        <w:t>la</w:t>
      </w:r>
      <w:r>
        <w:rPr>
          <w:spacing w:val="-3"/>
        </w:rPr>
        <w:t> </w:t>
      </w:r>
      <w:r>
        <w:rPr/>
        <w:t>administración</w:t>
      </w:r>
      <w:r>
        <w:rPr>
          <w:spacing w:val="-1"/>
        </w:rPr>
        <w:t> </w:t>
      </w:r>
      <w:r>
        <w:rPr/>
        <w:t>para que</w:t>
      </w:r>
      <w:r>
        <w:rPr>
          <w:spacing w:val="-3"/>
        </w:rPr>
        <w:t> </w:t>
      </w:r>
      <w:r>
        <w:rPr/>
        <w:t>automáticamente</w:t>
      </w:r>
      <w:r>
        <w:rPr>
          <w:spacing w:val="-2"/>
        </w:rPr>
        <w:t> </w:t>
      </w:r>
      <w:r>
        <w:rPr/>
        <w:t>utilice</w:t>
      </w:r>
      <w:r>
        <w:rPr>
          <w:spacing w:val="-3"/>
        </w:rPr>
        <w:t> </w:t>
      </w:r>
      <w:r>
        <w:rPr/>
        <w:t>como</w:t>
      </w:r>
      <w:r>
        <w:rPr>
          <w:spacing w:val="-4"/>
        </w:rPr>
        <w:t> </w:t>
      </w:r>
      <w:r>
        <w:rPr/>
        <w:t>tal</w:t>
      </w:r>
      <w:r>
        <w:rPr>
          <w:spacing w:val="-2"/>
        </w:rPr>
        <w:t> </w:t>
      </w:r>
      <w:r>
        <w:rPr/>
        <w:t>cualquier</w:t>
      </w:r>
      <w:r>
        <w:rPr>
          <w:spacing w:val="-5"/>
        </w:rPr>
        <w:t> </w:t>
      </w:r>
      <w:r>
        <w:rPr/>
        <w:t>correo</w:t>
      </w:r>
      <w:r>
        <w:rPr>
          <w:spacing w:val="-4"/>
        </w:rPr>
        <w:t> </w:t>
      </w:r>
      <w:r>
        <w:rPr/>
        <w:t>electrónico</w:t>
      </w:r>
      <w:r>
        <w:rPr>
          <w:spacing w:val="-1"/>
        </w:rPr>
        <w:t> </w:t>
      </w:r>
      <w:r>
        <w:rPr/>
        <w:t>que</w:t>
      </w:r>
      <w:r>
        <w:rPr>
          <w:spacing w:val="-2"/>
        </w:rPr>
        <w:t> </w:t>
      </w:r>
      <w:r>
        <w:rPr/>
        <w:t>se</w:t>
      </w:r>
      <w:r>
        <w:rPr>
          <w:spacing w:val="-3"/>
        </w:rPr>
        <w:t> </w:t>
      </w:r>
      <w:r>
        <w:rPr/>
        <w:t>indique</w:t>
      </w:r>
      <w:r>
        <w:rPr>
          <w:spacing w:val="1"/>
        </w:rPr>
        <w:t> </w:t>
      </w:r>
      <w:r>
        <w:rPr/>
        <w:t>en</w:t>
      </w:r>
      <w:r>
        <w:rPr>
          <w:spacing w:val="-1"/>
        </w:rPr>
        <w:t> </w:t>
      </w:r>
      <w:r>
        <w:rPr/>
        <w:t>la</w:t>
      </w:r>
      <w:r>
        <w:rPr>
          <w:spacing w:val="-3"/>
        </w:rPr>
        <w:t> </w:t>
      </w:r>
      <w:r>
        <w:rPr/>
        <w:t>oferta.</w:t>
      </w:r>
    </w:p>
    <w:p>
      <w:pPr>
        <w:pStyle w:val="BodyText"/>
        <w:spacing w:before="11"/>
        <w:rPr>
          <w:sz w:val="19"/>
        </w:rPr>
      </w:pPr>
    </w:p>
    <w:p>
      <w:pPr>
        <w:pStyle w:val="Heading4"/>
        <w:numPr>
          <w:ilvl w:val="0"/>
          <w:numId w:val="1"/>
        </w:numPr>
        <w:tabs>
          <w:tab w:pos="424" w:val="left" w:leader="none"/>
        </w:tabs>
        <w:spacing w:line="240" w:lineRule="auto" w:before="0" w:after="0"/>
        <w:ind w:left="424" w:right="0" w:hanging="197"/>
        <w:jc w:val="left"/>
      </w:pPr>
      <w:r>
        <w:rPr/>
        <w:t>Requisitos de</w:t>
      </w:r>
      <w:r>
        <w:rPr>
          <w:spacing w:val="-4"/>
        </w:rPr>
        <w:t> </w:t>
      </w:r>
      <w:r>
        <w:rPr/>
        <w:t>admisibilidad:</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2"/>
      </w:tblGrid>
      <w:tr>
        <w:trPr>
          <w:trHeight w:val="245" w:hRule="atLeast"/>
        </w:trPr>
        <w:tc>
          <w:tcPr>
            <w:tcW w:w="10632" w:type="dxa"/>
          </w:tcPr>
          <w:p>
            <w:pPr>
              <w:pStyle w:val="TableParagraph"/>
              <w:spacing w:line="221" w:lineRule="exact" w:before="4"/>
              <w:ind w:left="151"/>
              <w:rPr>
                <w:sz w:val="20"/>
              </w:rPr>
            </w:pPr>
            <w:r>
              <w:rPr>
                <w:b/>
                <w:sz w:val="20"/>
              </w:rPr>
              <w:t>3.1 </w:t>
            </w:r>
            <w:r>
              <w:rPr>
                <w:sz w:val="20"/>
              </w:rPr>
              <w:t>El o la oferente debe indicar en su propuesta la marca y modelo ofrecido, así como demás características técnicas.</w:t>
            </w:r>
          </w:p>
        </w:tc>
      </w:tr>
      <w:tr>
        <w:trPr>
          <w:trHeight w:val="242" w:hRule="atLeast"/>
        </w:trPr>
        <w:tc>
          <w:tcPr>
            <w:tcW w:w="10632" w:type="dxa"/>
          </w:tcPr>
          <w:p>
            <w:pPr>
              <w:pStyle w:val="TableParagraph"/>
              <w:spacing w:line="221" w:lineRule="exact"/>
              <w:ind w:left="106"/>
              <w:rPr>
                <w:sz w:val="20"/>
              </w:rPr>
            </w:pPr>
            <w:r>
              <w:rPr>
                <w:b/>
                <w:sz w:val="20"/>
              </w:rPr>
              <w:t>3.2 </w:t>
            </w:r>
            <w:r>
              <w:rPr>
                <w:sz w:val="20"/>
              </w:rPr>
              <w:t>Cotizar en la unidad de medida y presentación del artículo requerido según lo indicado en este pliego de condiciones.</w:t>
            </w:r>
          </w:p>
        </w:tc>
      </w:tr>
      <w:tr>
        <w:trPr>
          <w:trHeight w:val="245" w:hRule="atLeast"/>
        </w:trPr>
        <w:tc>
          <w:tcPr>
            <w:tcW w:w="10632" w:type="dxa"/>
          </w:tcPr>
          <w:p>
            <w:pPr>
              <w:pStyle w:val="TableParagraph"/>
              <w:spacing w:line="221" w:lineRule="exact" w:before="4"/>
              <w:ind w:left="106"/>
              <w:rPr>
                <w:sz w:val="20"/>
              </w:rPr>
            </w:pPr>
            <w:r>
              <w:rPr>
                <w:b/>
                <w:sz w:val="20"/>
              </w:rPr>
              <w:t>3.3 Plazo máximo de entrega: </w:t>
            </w:r>
            <w:r>
              <w:rPr>
                <w:sz w:val="20"/>
              </w:rPr>
              <w:t>60 días hábiles después de recibido el pedido para ambos artículos.</w:t>
            </w:r>
          </w:p>
        </w:tc>
      </w:tr>
      <w:tr>
        <w:trPr>
          <w:trHeight w:val="485" w:hRule="atLeast"/>
        </w:trPr>
        <w:tc>
          <w:tcPr>
            <w:tcW w:w="10632" w:type="dxa"/>
          </w:tcPr>
          <w:p>
            <w:pPr>
              <w:pStyle w:val="TableParagraph"/>
              <w:spacing w:line="240" w:lineRule="atLeast"/>
              <w:ind w:left="106" w:right="221"/>
              <w:rPr>
                <w:sz w:val="20"/>
              </w:rPr>
            </w:pPr>
            <w:r>
              <w:rPr>
                <w:b/>
                <w:sz w:val="20"/>
              </w:rPr>
              <w:t>3.4 Garantía mínima: </w:t>
            </w:r>
            <w:r>
              <w:rPr>
                <w:sz w:val="20"/>
              </w:rPr>
              <w:t>36 meses para los cascos kevlar y 36 meses para el escudo y 12 meses para el sistema de luces del escudo.</w:t>
            </w:r>
          </w:p>
        </w:tc>
      </w:tr>
      <w:tr>
        <w:trPr>
          <w:trHeight w:val="980" w:hRule="atLeast"/>
        </w:trPr>
        <w:tc>
          <w:tcPr>
            <w:tcW w:w="10632" w:type="dxa"/>
          </w:tcPr>
          <w:p>
            <w:pPr>
              <w:pStyle w:val="TableParagraph"/>
              <w:spacing w:before="2"/>
              <w:ind w:left="106" w:right="97"/>
              <w:jc w:val="both"/>
              <w:rPr>
                <w:sz w:val="20"/>
              </w:rPr>
            </w:pPr>
            <w:r>
              <w:rPr>
                <w:b/>
                <w:sz w:val="20"/>
              </w:rPr>
              <w:t>3.5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 haya que agregarles costos adicionales asociados que el</w:t>
            </w:r>
            <w:r>
              <w:rPr>
                <w:spacing w:val="2"/>
                <w:sz w:val="20"/>
              </w:rPr>
              <w:t> </w:t>
            </w:r>
            <w:r>
              <w:rPr>
                <w:sz w:val="20"/>
              </w:rPr>
              <w:t>proveedor</w:t>
            </w:r>
          </w:p>
          <w:p>
            <w:pPr>
              <w:pStyle w:val="TableParagraph"/>
              <w:spacing w:line="225" w:lineRule="exact"/>
              <w:ind w:left="106"/>
              <w:jc w:val="both"/>
              <w:rPr>
                <w:sz w:val="20"/>
              </w:rPr>
            </w:pPr>
            <w:r>
              <w:rPr>
                <w:sz w:val="20"/>
              </w:rPr>
              <w:t>(a) no incorporó en forma individual en el precio ofertado en cada línea.</w:t>
            </w:r>
          </w:p>
        </w:tc>
      </w:tr>
    </w:tbl>
    <w:p>
      <w:pPr>
        <w:spacing w:after="0" w:line="225" w:lineRule="exact"/>
        <w:jc w:val="both"/>
        <w:rPr>
          <w:sz w:val="20"/>
        </w:rPr>
        <w:sectPr>
          <w:headerReference w:type="default" r:id="rId5"/>
          <w:type w:val="continuous"/>
          <w:pgSz w:w="11910" w:h="16840"/>
          <w:pgMar w:header="0" w:top="1120" w:bottom="0" w:left="340" w:right="540"/>
        </w:sectPr>
      </w:pPr>
    </w:p>
    <w:p>
      <w:pPr>
        <w:pStyle w:val="BodyText"/>
        <w:spacing w:line="24" w:lineRule="exact"/>
        <w:ind w:left="-348"/>
        <w:rPr>
          <w:sz w:val="2"/>
        </w:rPr>
      </w:pPr>
      <w:r>
        <w:rPr>
          <w:sz w:val="2"/>
        </w:rPr>
        <w:pict>
          <v:group style="width:492.4pt;height:1.2pt;mso-position-horizontal-relative:char;mso-position-vertical-relative:line" coordorigin="0,0" coordsize="9848,24">
            <v:line style="position:absolute" from="7,7" to="9840,16" stroked="true" strokeweight=".737pt" strokecolor="#0000ff">
              <v:stroke dashstyle="solid"/>
            </v:line>
          </v:group>
        </w:pict>
      </w:r>
      <w:r>
        <w:rPr>
          <w:sz w:val="2"/>
        </w:rPr>
      </w:r>
    </w:p>
    <w:p>
      <w:pPr>
        <w:pStyle w:val="BodyText"/>
        <w:spacing w:before="7"/>
        <w:rPr>
          <w:b/>
          <w:sz w:val="25"/>
        </w:rPr>
      </w:pPr>
    </w:p>
    <w:p>
      <w:pPr>
        <w:pStyle w:val="ListParagraph"/>
        <w:numPr>
          <w:ilvl w:val="0"/>
          <w:numId w:val="1"/>
        </w:numPr>
        <w:tabs>
          <w:tab w:pos="424" w:val="left" w:leader="none"/>
        </w:tabs>
        <w:spacing w:line="240" w:lineRule="auto" w:before="59" w:after="0"/>
        <w:ind w:left="424" w:right="0" w:hanging="197"/>
        <w:jc w:val="left"/>
        <w:rPr>
          <w:b/>
          <w:sz w:val="20"/>
        </w:rPr>
      </w:pPr>
      <w:r>
        <w:rPr>
          <w:b/>
          <w:sz w:val="20"/>
        </w:rPr>
        <w:t>Condiciones particulares de la</w:t>
      </w:r>
      <w:r>
        <w:rPr>
          <w:b/>
          <w:spacing w:val="-1"/>
          <w:sz w:val="20"/>
        </w:rPr>
        <w:t> </w:t>
      </w:r>
      <w:r>
        <w:rPr>
          <w:b/>
          <w:sz w:val="20"/>
        </w:rPr>
        <w:t>oferta:</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0"/>
        <w:gridCol w:w="6752"/>
      </w:tblGrid>
      <w:tr>
        <w:trPr>
          <w:trHeight w:val="278" w:hRule="atLeast"/>
        </w:trPr>
        <w:tc>
          <w:tcPr>
            <w:tcW w:w="10632" w:type="dxa"/>
            <w:gridSpan w:val="2"/>
          </w:tcPr>
          <w:p>
            <w:pPr>
              <w:pStyle w:val="TableParagraph"/>
              <w:spacing w:before="4"/>
              <w:ind w:left="3"/>
              <w:rPr>
                <w:sz w:val="20"/>
              </w:rPr>
            </w:pPr>
            <w:r>
              <w:rPr>
                <w:b/>
                <w:sz w:val="20"/>
              </w:rPr>
              <w:t>4.1 Vigencia de la Oferta: </w:t>
            </w:r>
            <w:r>
              <w:rPr>
                <w:sz w:val="20"/>
              </w:rPr>
              <w:t>25 días hábiles, a partir de la apertura de ofertas</w:t>
            </w:r>
          </w:p>
        </w:tc>
      </w:tr>
      <w:tr>
        <w:trPr>
          <w:trHeight w:val="274" w:hRule="atLeast"/>
        </w:trPr>
        <w:tc>
          <w:tcPr>
            <w:tcW w:w="10632" w:type="dxa"/>
            <w:gridSpan w:val="2"/>
          </w:tcPr>
          <w:p>
            <w:pPr>
              <w:pStyle w:val="TableParagraph"/>
              <w:ind w:left="3"/>
              <w:rPr>
                <w:sz w:val="20"/>
              </w:rPr>
            </w:pPr>
            <w:r>
              <w:rPr>
                <w:b/>
                <w:sz w:val="20"/>
              </w:rPr>
              <w:t>4.2 Lugar de entrega del objeto contractual: </w:t>
            </w:r>
            <w:r>
              <w:rPr>
                <w:sz w:val="20"/>
              </w:rPr>
              <w:t>OIJ de Puntarenas</w:t>
            </w:r>
          </w:p>
        </w:tc>
      </w:tr>
      <w:tr>
        <w:trPr>
          <w:trHeight w:val="4205" w:hRule="atLeast"/>
        </w:trPr>
        <w:tc>
          <w:tcPr>
            <w:tcW w:w="10632" w:type="dxa"/>
            <w:gridSpan w:val="2"/>
          </w:tcPr>
          <w:p>
            <w:pPr>
              <w:pStyle w:val="TableParagraph"/>
              <w:numPr>
                <w:ilvl w:val="1"/>
                <w:numId w:val="2"/>
              </w:numPr>
              <w:tabs>
                <w:tab w:pos="291" w:val="left" w:leader="none"/>
              </w:tabs>
              <w:spacing w:line="240" w:lineRule="auto" w:before="4" w:after="0"/>
              <w:ind w:left="291" w:right="0" w:hanging="288"/>
              <w:jc w:val="both"/>
              <w:rPr>
                <w:b/>
                <w:sz w:val="20"/>
              </w:rPr>
            </w:pPr>
            <w:r>
              <w:rPr>
                <w:b/>
                <w:spacing w:val="-4"/>
                <w:sz w:val="20"/>
              </w:rPr>
              <w:t>Cláusula Penal:</w:t>
            </w:r>
          </w:p>
          <w:p>
            <w:pPr>
              <w:pStyle w:val="TableParagraph"/>
              <w:numPr>
                <w:ilvl w:val="2"/>
                <w:numId w:val="2"/>
              </w:numPr>
              <w:tabs>
                <w:tab w:pos="459" w:val="left" w:leader="none"/>
              </w:tabs>
              <w:spacing w:line="240" w:lineRule="auto" w:before="0" w:after="0"/>
              <w:ind w:left="3" w:right="135" w:firstLine="0"/>
              <w:jc w:val="both"/>
              <w:rPr>
                <w:sz w:val="20"/>
              </w:rPr>
            </w:pPr>
            <w:r>
              <w:rPr>
                <w:sz w:val="20"/>
              </w:rPr>
              <w:t>Por cada día hábil de atraso en la entrega, </w:t>
            </w:r>
            <w:r>
              <w:rPr>
                <w:spacing w:val="2"/>
                <w:sz w:val="20"/>
              </w:rPr>
              <w:t>se </w:t>
            </w:r>
            <w:r>
              <w:rPr>
                <w:sz w:val="20"/>
              </w:rPr>
              <w:t>sancionará al adjudicatario (a) infractor (a) con un 1</w:t>
            </w:r>
            <w:r>
              <w:rPr>
                <w:sz w:val="20"/>
                <w:shd w:fill="FFFF00" w:color="auto" w:val="clear"/>
              </w:rPr>
              <w:t>,33%</w:t>
            </w:r>
            <w:r>
              <w:rPr>
                <w:sz w:val="20"/>
              </w:rPr>
              <w:t> del valor del objeto contractual adjudicado, hasta un máximo del 25% del total</w:t>
            </w:r>
            <w:r>
              <w:rPr>
                <w:spacing w:val="-8"/>
                <w:sz w:val="20"/>
              </w:rPr>
              <w:t> </w:t>
            </w:r>
            <w:r>
              <w:rPr>
                <w:sz w:val="20"/>
              </w:rPr>
              <w:t>adjudicado.</w:t>
            </w:r>
          </w:p>
          <w:p>
            <w:pPr>
              <w:pStyle w:val="TableParagraph"/>
              <w:spacing w:before="3"/>
              <w:rPr>
                <w:b/>
                <w:sz w:val="22"/>
              </w:rPr>
            </w:pPr>
          </w:p>
          <w:p>
            <w:pPr>
              <w:pStyle w:val="TableParagraph"/>
              <w:numPr>
                <w:ilvl w:val="2"/>
                <w:numId w:val="2"/>
              </w:numPr>
              <w:tabs>
                <w:tab w:pos="487" w:val="left" w:leader="none"/>
              </w:tabs>
              <w:spacing w:line="240" w:lineRule="auto" w:before="0" w:after="0"/>
              <w:ind w:left="3" w:right="137" w:firstLine="0"/>
              <w:jc w:val="both"/>
              <w:rPr>
                <w:sz w:val="20"/>
              </w:rPr>
            </w:pPr>
            <w:r>
              <w:rPr>
                <w:sz w:val="20"/>
              </w:rPr>
              <w:t>En caso de que se incurra en atraso o se incumpla con los compromisos adquiridos, la Administración además, podrá resolver el contrato, perseguir el pago de daños y perjuicios no cubiertos y aplicar las demás sanciones administrativas que prevé el ordenamiento</w:t>
            </w:r>
            <w:r>
              <w:rPr>
                <w:spacing w:val="-8"/>
                <w:sz w:val="20"/>
              </w:rPr>
              <w:t> </w:t>
            </w:r>
            <w:r>
              <w:rPr>
                <w:sz w:val="20"/>
              </w:rPr>
              <w:t>jurídico.</w:t>
            </w:r>
          </w:p>
          <w:p>
            <w:pPr>
              <w:pStyle w:val="TableParagraph"/>
              <w:rPr>
                <w:b/>
                <w:sz w:val="20"/>
              </w:rPr>
            </w:pPr>
          </w:p>
          <w:p>
            <w:pPr>
              <w:pStyle w:val="TableParagraph"/>
              <w:numPr>
                <w:ilvl w:val="2"/>
                <w:numId w:val="2"/>
              </w:numPr>
              <w:tabs>
                <w:tab w:pos="479" w:val="left" w:leader="none"/>
              </w:tabs>
              <w:spacing w:line="240" w:lineRule="auto" w:before="0" w:after="0"/>
              <w:ind w:left="3" w:right="142" w:firstLine="0"/>
              <w:jc w:val="both"/>
              <w:rPr>
                <w:sz w:val="20"/>
              </w:rPr>
            </w:pPr>
            <w:r>
              <w:rPr>
                <w:sz w:val="20"/>
              </w:rPr>
              <w:t>El monto de la sanción deberá ser cobrado directamente al adjudicatario o adjudicataria y en caso de negativa del o la contratista</w:t>
            </w:r>
            <w:r>
              <w:rPr>
                <w:spacing w:val="-4"/>
                <w:sz w:val="20"/>
              </w:rPr>
              <w:t> </w:t>
            </w:r>
            <w:r>
              <w:rPr>
                <w:sz w:val="20"/>
              </w:rPr>
              <w:t>para cancelarlo,</w:t>
            </w:r>
            <w:r>
              <w:rPr>
                <w:spacing w:val="-2"/>
                <w:sz w:val="20"/>
              </w:rPr>
              <w:t> </w:t>
            </w:r>
            <w:r>
              <w:rPr>
                <w:sz w:val="20"/>
              </w:rPr>
              <w:t>podrá</w:t>
            </w:r>
            <w:r>
              <w:rPr>
                <w:spacing w:val="-3"/>
                <w:sz w:val="20"/>
              </w:rPr>
              <w:t> </w:t>
            </w:r>
            <w:r>
              <w:rPr>
                <w:sz w:val="20"/>
              </w:rPr>
              <w:t>ser</w:t>
            </w:r>
            <w:r>
              <w:rPr>
                <w:spacing w:val="-1"/>
                <w:sz w:val="20"/>
              </w:rPr>
              <w:t> </w:t>
            </w:r>
            <w:r>
              <w:rPr>
                <w:sz w:val="20"/>
              </w:rPr>
              <w:t>retenido</w:t>
            </w:r>
            <w:r>
              <w:rPr>
                <w:spacing w:val="-5"/>
                <w:sz w:val="20"/>
              </w:rPr>
              <w:t> </w:t>
            </w:r>
            <w:r>
              <w:rPr>
                <w:sz w:val="20"/>
              </w:rPr>
              <w:t>de</w:t>
            </w:r>
            <w:r>
              <w:rPr>
                <w:spacing w:val="1"/>
                <w:sz w:val="20"/>
              </w:rPr>
              <w:t> </w:t>
            </w:r>
            <w:r>
              <w:rPr>
                <w:sz w:val="20"/>
              </w:rPr>
              <w:t>las</w:t>
            </w:r>
            <w:r>
              <w:rPr>
                <w:spacing w:val="-2"/>
                <w:sz w:val="20"/>
              </w:rPr>
              <w:t> </w:t>
            </w:r>
            <w:r>
              <w:rPr>
                <w:sz w:val="20"/>
              </w:rPr>
              <w:t>facturas</w:t>
            </w:r>
            <w:r>
              <w:rPr>
                <w:spacing w:val="-2"/>
                <w:sz w:val="20"/>
              </w:rPr>
              <w:t> </w:t>
            </w:r>
            <w:r>
              <w:rPr>
                <w:sz w:val="20"/>
              </w:rPr>
              <w:t>pendientes</w:t>
            </w:r>
            <w:r>
              <w:rPr>
                <w:spacing w:val="-2"/>
                <w:sz w:val="20"/>
              </w:rPr>
              <w:t> </w:t>
            </w:r>
            <w:r>
              <w:rPr>
                <w:sz w:val="20"/>
              </w:rPr>
              <w:t>de</w:t>
            </w:r>
            <w:r>
              <w:rPr>
                <w:spacing w:val="-3"/>
                <w:sz w:val="20"/>
              </w:rPr>
              <w:t> </w:t>
            </w:r>
            <w:r>
              <w:rPr>
                <w:sz w:val="20"/>
              </w:rPr>
              <w:t>pago</w:t>
            </w:r>
            <w:r>
              <w:rPr>
                <w:spacing w:val="-1"/>
                <w:sz w:val="20"/>
              </w:rPr>
              <w:t> </w:t>
            </w:r>
            <w:r>
              <w:rPr>
                <w:sz w:val="20"/>
              </w:rPr>
              <w:t>o</w:t>
            </w:r>
            <w:r>
              <w:rPr>
                <w:spacing w:val="-1"/>
                <w:sz w:val="20"/>
              </w:rPr>
              <w:t> </w:t>
            </w:r>
            <w:r>
              <w:rPr>
                <w:sz w:val="20"/>
              </w:rPr>
              <w:t>rebajo</w:t>
            </w:r>
            <w:r>
              <w:rPr>
                <w:spacing w:val="-1"/>
                <w:sz w:val="20"/>
              </w:rPr>
              <w:t> </w:t>
            </w:r>
            <w:r>
              <w:rPr>
                <w:sz w:val="20"/>
              </w:rPr>
              <w:t>de</w:t>
            </w:r>
            <w:r>
              <w:rPr>
                <w:spacing w:val="-3"/>
                <w:sz w:val="20"/>
              </w:rPr>
              <w:t> </w:t>
            </w:r>
            <w:r>
              <w:rPr>
                <w:sz w:val="20"/>
              </w:rPr>
              <w:t>la garantía</w:t>
            </w:r>
            <w:r>
              <w:rPr>
                <w:spacing w:val="-4"/>
                <w:sz w:val="20"/>
              </w:rPr>
              <w:t> </w:t>
            </w:r>
            <w:r>
              <w:rPr>
                <w:sz w:val="20"/>
              </w:rPr>
              <w:t>de</w:t>
            </w:r>
            <w:r>
              <w:rPr>
                <w:spacing w:val="-3"/>
                <w:sz w:val="20"/>
              </w:rPr>
              <w:t> </w:t>
            </w:r>
            <w:r>
              <w:rPr>
                <w:sz w:val="20"/>
              </w:rPr>
              <w:t>cumplimiento.</w:t>
            </w:r>
          </w:p>
          <w:p>
            <w:pPr>
              <w:pStyle w:val="TableParagraph"/>
              <w:spacing w:before="11"/>
              <w:rPr>
                <w:b/>
                <w:sz w:val="19"/>
              </w:rPr>
            </w:pPr>
          </w:p>
          <w:p>
            <w:pPr>
              <w:pStyle w:val="TableParagraph"/>
              <w:numPr>
                <w:ilvl w:val="2"/>
                <w:numId w:val="2"/>
              </w:numPr>
              <w:tabs>
                <w:tab w:pos="459" w:val="left" w:leader="none"/>
              </w:tabs>
              <w:spacing w:line="240" w:lineRule="auto" w:before="1" w:after="0"/>
              <w:ind w:left="3" w:right="140" w:firstLine="0"/>
              <w:jc w:val="both"/>
              <w:rPr>
                <w:sz w:val="20"/>
              </w:rPr>
            </w:pPr>
            <w:r>
              <w:rPr>
                <w:sz w:val="20"/>
              </w:rPr>
              <w:t>El proceso de ejecución de cláusula penal será llevado a cabo por el Subproceso de Verificación y Ejecución contractual del Departamento de</w:t>
            </w:r>
            <w:r>
              <w:rPr>
                <w:spacing w:val="-5"/>
                <w:sz w:val="20"/>
              </w:rPr>
              <w:t> </w:t>
            </w:r>
            <w:r>
              <w:rPr>
                <w:sz w:val="20"/>
              </w:rPr>
              <w:t>Proveeduría.</w:t>
            </w:r>
          </w:p>
          <w:p>
            <w:pPr>
              <w:pStyle w:val="TableParagraph"/>
              <w:spacing w:before="11"/>
              <w:rPr>
                <w:b/>
                <w:sz w:val="19"/>
              </w:rPr>
            </w:pPr>
          </w:p>
          <w:p>
            <w:pPr>
              <w:pStyle w:val="TableParagraph"/>
              <w:numPr>
                <w:ilvl w:val="2"/>
                <w:numId w:val="2"/>
              </w:numPr>
              <w:tabs>
                <w:tab w:pos="599" w:val="left" w:leader="none"/>
              </w:tabs>
              <w:spacing w:line="240" w:lineRule="auto" w:before="0" w:after="0"/>
              <w:ind w:left="3" w:right="137" w:firstLine="132"/>
              <w:jc w:val="left"/>
              <w:rPr>
                <w:b/>
                <w:sz w:val="20"/>
              </w:rPr>
            </w:pPr>
            <w:r>
              <w:rPr>
                <w:b/>
                <w:sz w:val="20"/>
              </w:rPr>
              <w:t>aplicación de la cláusula penal o la ejecución de la garantía de cumplimiento, no exime al contratista de indemnizar a la Administración por los daños y perjuicios que no cubran esos</w:t>
            </w:r>
            <w:r>
              <w:rPr>
                <w:b/>
                <w:spacing w:val="-14"/>
                <w:sz w:val="20"/>
              </w:rPr>
              <w:t> </w:t>
            </w:r>
            <w:r>
              <w:rPr>
                <w:b/>
                <w:sz w:val="20"/>
              </w:rPr>
              <w:t>conceptos.</w:t>
            </w:r>
          </w:p>
        </w:tc>
      </w:tr>
      <w:tr>
        <w:trPr>
          <w:trHeight w:val="1437" w:hRule="atLeast"/>
        </w:trPr>
        <w:tc>
          <w:tcPr>
            <w:tcW w:w="10632" w:type="dxa"/>
            <w:gridSpan w:val="2"/>
            <w:tcBorders>
              <w:bottom w:val="nil"/>
            </w:tcBorders>
          </w:tcPr>
          <w:p>
            <w:pPr>
              <w:pStyle w:val="TableParagraph"/>
              <w:spacing w:before="4"/>
              <w:ind w:left="3" w:right="135"/>
              <w:jc w:val="both"/>
              <w:rPr>
                <w:sz w:val="20"/>
              </w:rPr>
            </w:pPr>
            <w:r>
              <w:rPr>
                <w:b/>
                <w:sz w:val="20"/>
              </w:rPr>
              <w:t>4.4 Garantía de Cumplimiento: </w:t>
            </w:r>
            <w:r>
              <w:rPr>
                <w:sz w:val="20"/>
              </w:rPr>
              <w:t>Cuando el monto total adjudicado sea igual o superior a ¢ 4.000.000, el adjudicatario o la adjudicataria debe realizar el </w:t>
            </w:r>
            <w:r>
              <w:rPr>
                <w:b/>
                <w:sz w:val="20"/>
              </w:rPr>
              <w:t>depósito de la garantía de cumplimiento </w:t>
            </w:r>
            <w:r>
              <w:rPr>
                <w:sz w:val="20"/>
              </w:rPr>
              <w:t>la cual será del cinco por ciento (5%) del monto total adjudicado.</w:t>
            </w:r>
          </w:p>
          <w:p>
            <w:pPr>
              <w:pStyle w:val="TableParagraph"/>
              <w:rPr>
                <w:b/>
                <w:sz w:val="20"/>
              </w:rPr>
            </w:pPr>
          </w:p>
          <w:p>
            <w:pPr>
              <w:pStyle w:val="TableParagraph"/>
              <w:ind w:left="3"/>
              <w:rPr>
                <w:sz w:val="20"/>
              </w:rPr>
            </w:pPr>
            <w:r>
              <w:rPr>
                <w:sz w:val="20"/>
              </w:rPr>
              <w:t>Observaciones: </w:t>
            </w:r>
            <w:r>
              <w:rPr>
                <w:spacing w:val="13"/>
                <w:sz w:val="20"/>
              </w:rPr>
              <w:t> </w:t>
            </w:r>
            <w:r>
              <w:rPr>
                <w:sz w:val="20"/>
              </w:rPr>
              <w:t>El </w:t>
            </w:r>
            <w:r>
              <w:rPr>
                <w:spacing w:val="12"/>
                <w:sz w:val="20"/>
              </w:rPr>
              <w:t> </w:t>
            </w:r>
            <w:r>
              <w:rPr>
                <w:sz w:val="20"/>
              </w:rPr>
              <w:t>detalle </w:t>
            </w:r>
            <w:r>
              <w:rPr>
                <w:spacing w:val="14"/>
                <w:sz w:val="20"/>
              </w:rPr>
              <w:t> </w:t>
            </w:r>
            <w:r>
              <w:rPr>
                <w:sz w:val="20"/>
              </w:rPr>
              <w:t>del </w:t>
            </w:r>
            <w:r>
              <w:rPr>
                <w:spacing w:val="12"/>
                <w:sz w:val="20"/>
              </w:rPr>
              <w:t> </w:t>
            </w:r>
            <w:r>
              <w:rPr>
                <w:sz w:val="20"/>
              </w:rPr>
              <w:t>trámite </w:t>
            </w:r>
            <w:r>
              <w:rPr>
                <w:spacing w:val="15"/>
                <w:sz w:val="20"/>
              </w:rPr>
              <w:t> </w:t>
            </w:r>
            <w:r>
              <w:rPr>
                <w:sz w:val="20"/>
              </w:rPr>
              <w:t>de </w:t>
            </w:r>
            <w:r>
              <w:rPr>
                <w:spacing w:val="19"/>
                <w:sz w:val="20"/>
              </w:rPr>
              <w:t> </w:t>
            </w:r>
            <w:r>
              <w:rPr>
                <w:sz w:val="20"/>
              </w:rPr>
              <w:t>depósitos </w:t>
            </w:r>
            <w:r>
              <w:rPr>
                <w:spacing w:val="16"/>
                <w:sz w:val="20"/>
              </w:rPr>
              <w:t> </w:t>
            </w:r>
            <w:r>
              <w:rPr>
                <w:sz w:val="20"/>
              </w:rPr>
              <w:t>y </w:t>
            </w:r>
            <w:r>
              <w:rPr>
                <w:spacing w:val="16"/>
                <w:sz w:val="20"/>
              </w:rPr>
              <w:t> </w:t>
            </w:r>
            <w:r>
              <w:rPr>
                <w:sz w:val="20"/>
              </w:rPr>
              <w:t>devoluciones </w:t>
            </w:r>
            <w:r>
              <w:rPr>
                <w:spacing w:val="15"/>
                <w:sz w:val="20"/>
              </w:rPr>
              <w:t> </w:t>
            </w:r>
            <w:r>
              <w:rPr>
                <w:sz w:val="20"/>
              </w:rPr>
              <w:t>de </w:t>
            </w:r>
            <w:r>
              <w:rPr>
                <w:spacing w:val="15"/>
                <w:sz w:val="20"/>
              </w:rPr>
              <w:t> </w:t>
            </w:r>
            <w:r>
              <w:rPr>
                <w:sz w:val="20"/>
              </w:rPr>
              <w:t>garantía </w:t>
            </w:r>
            <w:r>
              <w:rPr>
                <w:spacing w:val="14"/>
                <w:sz w:val="20"/>
              </w:rPr>
              <w:t> </w:t>
            </w:r>
            <w:r>
              <w:rPr>
                <w:sz w:val="20"/>
              </w:rPr>
              <w:t>de </w:t>
            </w:r>
            <w:r>
              <w:rPr>
                <w:spacing w:val="19"/>
                <w:sz w:val="20"/>
              </w:rPr>
              <w:t> </w:t>
            </w:r>
            <w:r>
              <w:rPr>
                <w:sz w:val="20"/>
              </w:rPr>
              <w:t>cumplimiento, </w:t>
            </w:r>
            <w:r>
              <w:rPr>
                <w:spacing w:val="12"/>
                <w:sz w:val="20"/>
              </w:rPr>
              <w:t> </w:t>
            </w:r>
            <w:r>
              <w:rPr>
                <w:sz w:val="20"/>
              </w:rPr>
              <w:t>está </w:t>
            </w:r>
            <w:r>
              <w:rPr>
                <w:spacing w:val="14"/>
                <w:sz w:val="20"/>
              </w:rPr>
              <w:t> </w:t>
            </w:r>
            <w:r>
              <w:rPr>
                <w:sz w:val="20"/>
              </w:rPr>
              <w:t>disponible </w:t>
            </w:r>
            <w:r>
              <w:rPr>
                <w:spacing w:val="14"/>
                <w:sz w:val="20"/>
              </w:rPr>
              <w:t> </w:t>
            </w:r>
            <w:r>
              <w:rPr>
                <w:sz w:val="20"/>
              </w:rPr>
              <w:t>en </w:t>
            </w:r>
            <w:r>
              <w:rPr>
                <w:spacing w:val="14"/>
                <w:sz w:val="20"/>
              </w:rPr>
              <w:t> </w:t>
            </w:r>
            <w:r>
              <w:rPr>
                <w:sz w:val="20"/>
              </w:rPr>
              <w:t>la</w:t>
            </w:r>
          </w:p>
          <w:p>
            <w:pPr>
              <w:pStyle w:val="TableParagraph"/>
              <w:spacing w:line="193" w:lineRule="exact"/>
              <w:ind w:left="3"/>
              <w:rPr>
                <w:b/>
                <w:sz w:val="20"/>
              </w:rPr>
            </w:pPr>
            <w:hyperlink r:id="rId12">
              <w:r>
                <w:rPr>
                  <w:b/>
                  <w:color w:val="0000FF"/>
                  <w:sz w:val="20"/>
                </w:rPr>
                <w:t>https://www.poder-judicial.go.cr/proveeduria</w:t>
              </w:r>
              <w:r>
                <w:rPr>
                  <w:sz w:val="20"/>
                </w:rPr>
                <w:t>,</w:t>
              </w:r>
            </w:hyperlink>
            <w:r>
              <w:rPr>
                <w:sz w:val="20"/>
              </w:rPr>
              <w:t> </w:t>
            </w:r>
            <w:r>
              <w:rPr>
                <w:spacing w:val="14"/>
                <w:sz w:val="20"/>
              </w:rPr>
              <w:t> </w:t>
            </w:r>
            <w:r>
              <w:rPr>
                <w:sz w:val="20"/>
              </w:rPr>
              <w:t>en </w:t>
            </w:r>
            <w:r>
              <w:rPr>
                <w:spacing w:val="13"/>
                <w:sz w:val="20"/>
              </w:rPr>
              <w:t> </w:t>
            </w:r>
            <w:r>
              <w:rPr>
                <w:sz w:val="20"/>
              </w:rPr>
              <w:t>“Consultas </w:t>
            </w:r>
            <w:r>
              <w:rPr>
                <w:spacing w:val="14"/>
                <w:sz w:val="20"/>
              </w:rPr>
              <w:t> </w:t>
            </w:r>
            <w:r>
              <w:rPr>
                <w:sz w:val="20"/>
              </w:rPr>
              <w:t>y </w:t>
            </w:r>
            <w:r>
              <w:rPr>
                <w:spacing w:val="15"/>
                <w:sz w:val="20"/>
              </w:rPr>
              <w:t> </w:t>
            </w:r>
            <w:r>
              <w:rPr>
                <w:sz w:val="20"/>
              </w:rPr>
              <w:t>Servicios”, </w:t>
            </w:r>
            <w:r>
              <w:rPr>
                <w:spacing w:val="11"/>
                <w:sz w:val="20"/>
              </w:rPr>
              <w:t> </w:t>
            </w:r>
            <w:r>
              <w:rPr>
                <w:sz w:val="20"/>
              </w:rPr>
              <w:t>apartado </w:t>
            </w:r>
            <w:r>
              <w:rPr>
                <w:spacing w:val="13"/>
                <w:sz w:val="20"/>
              </w:rPr>
              <w:t> </w:t>
            </w:r>
            <w:r>
              <w:rPr>
                <w:sz w:val="20"/>
              </w:rPr>
              <w:t>de </w:t>
            </w:r>
            <w:r>
              <w:rPr>
                <w:spacing w:val="14"/>
                <w:sz w:val="20"/>
              </w:rPr>
              <w:t> </w:t>
            </w:r>
            <w:r>
              <w:rPr>
                <w:b/>
                <w:sz w:val="20"/>
              </w:rPr>
              <w:t>Información </w:t>
            </w:r>
            <w:r>
              <w:rPr>
                <w:b/>
                <w:spacing w:val="13"/>
                <w:sz w:val="20"/>
              </w:rPr>
              <w:t> </w:t>
            </w:r>
            <w:r>
              <w:rPr>
                <w:b/>
                <w:sz w:val="20"/>
              </w:rPr>
              <w:t>de </w:t>
            </w:r>
            <w:r>
              <w:rPr>
                <w:b/>
                <w:spacing w:val="14"/>
                <w:sz w:val="20"/>
              </w:rPr>
              <w:t> </w:t>
            </w:r>
            <w:r>
              <w:rPr>
                <w:b/>
                <w:sz w:val="20"/>
              </w:rPr>
              <w:t>interés </w:t>
            </w:r>
            <w:r>
              <w:rPr>
                <w:b/>
                <w:spacing w:val="13"/>
                <w:sz w:val="20"/>
              </w:rPr>
              <w:t> </w:t>
            </w:r>
            <w:r>
              <w:rPr>
                <w:b/>
                <w:sz w:val="20"/>
              </w:rPr>
              <w:t>para </w:t>
            </w:r>
            <w:r>
              <w:rPr>
                <w:b/>
                <w:spacing w:val="14"/>
                <w:sz w:val="20"/>
              </w:rPr>
              <w:t> </w:t>
            </w:r>
            <w:r>
              <w:rPr>
                <w:b/>
                <w:spacing w:val="-2"/>
                <w:sz w:val="20"/>
              </w:rPr>
              <w:t>los</w:t>
            </w:r>
          </w:p>
        </w:tc>
      </w:tr>
      <w:tr>
        <w:trPr>
          <w:trHeight w:val="257" w:hRule="atLeast"/>
        </w:trPr>
        <w:tc>
          <w:tcPr>
            <w:tcW w:w="3880" w:type="dxa"/>
            <w:tcBorders>
              <w:top w:val="single" w:sz="6" w:space="0" w:color="0000FF"/>
              <w:right w:val="nil"/>
            </w:tcBorders>
          </w:tcPr>
          <w:p>
            <w:pPr>
              <w:pStyle w:val="TableParagraph"/>
              <w:spacing w:line="221" w:lineRule="exact" w:before="16"/>
              <w:ind w:left="3"/>
              <w:rPr>
                <w:b/>
                <w:sz w:val="20"/>
              </w:rPr>
            </w:pPr>
            <w:r>
              <w:rPr>
                <w:b/>
                <w:sz w:val="20"/>
              </w:rPr>
              <w:t>proveedores.</w:t>
            </w:r>
          </w:p>
        </w:tc>
        <w:tc>
          <w:tcPr>
            <w:tcW w:w="6752" w:type="dxa"/>
            <w:tcBorders>
              <w:top w:val="nil"/>
              <w:left w:val="nil"/>
            </w:tcBorders>
          </w:tcPr>
          <w:p>
            <w:pPr>
              <w:pStyle w:val="TableParagraph"/>
              <w:rPr>
                <w:rFonts w:ascii="Times New Roman"/>
                <w:sz w:val="18"/>
              </w:rPr>
            </w:pPr>
          </w:p>
        </w:tc>
      </w:tr>
      <w:tr>
        <w:trPr>
          <w:trHeight w:val="486" w:hRule="atLeast"/>
        </w:trPr>
        <w:tc>
          <w:tcPr>
            <w:tcW w:w="10632" w:type="dxa"/>
            <w:gridSpan w:val="2"/>
          </w:tcPr>
          <w:p>
            <w:pPr>
              <w:pStyle w:val="TableParagraph"/>
              <w:spacing w:line="240" w:lineRule="atLeast"/>
              <w:ind w:left="3" w:right="221"/>
              <w:rPr>
                <w:sz w:val="20"/>
              </w:rPr>
            </w:pPr>
            <w:r>
              <w:rPr>
                <w:b/>
                <w:sz w:val="20"/>
              </w:rPr>
              <w:t>4.5 </w:t>
            </w:r>
            <w:r>
              <w:rPr>
                <w:sz w:val="20"/>
              </w:rPr>
              <w:t>El Poder Judicial tiene la facultad de adjudicar menor o mayor cantidad  de unidades respecto a las solicitadas en  este  cartel.</w:t>
            </w:r>
          </w:p>
        </w:tc>
      </w:tr>
      <w:tr>
        <w:trPr>
          <w:trHeight w:val="488" w:hRule="atLeast"/>
        </w:trPr>
        <w:tc>
          <w:tcPr>
            <w:tcW w:w="10632" w:type="dxa"/>
            <w:gridSpan w:val="2"/>
          </w:tcPr>
          <w:p>
            <w:pPr>
              <w:pStyle w:val="TableParagraph"/>
              <w:spacing w:line="240" w:lineRule="atLeast" w:before="2"/>
              <w:ind w:left="3"/>
              <w:rPr>
                <w:sz w:val="20"/>
              </w:rPr>
            </w:pPr>
            <w:r>
              <w:rPr>
                <w:b/>
                <w:sz w:val="20"/>
              </w:rPr>
              <w:t>4.6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r>
        <w:trPr>
          <w:trHeight w:val="974" w:hRule="atLeast"/>
        </w:trPr>
        <w:tc>
          <w:tcPr>
            <w:tcW w:w="10632" w:type="dxa"/>
            <w:gridSpan w:val="2"/>
          </w:tcPr>
          <w:p>
            <w:pPr>
              <w:pStyle w:val="TableParagraph"/>
              <w:ind w:left="3" w:right="139"/>
              <w:jc w:val="both"/>
              <w:rPr>
                <w:sz w:val="20"/>
              </w:rPr>
            </w:pPr>
            <w:r>
              <w:rPr>
                <w:b/>
                <w:sz w:val="20"/>
              </w:rPr>
              <w:t>4.7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 el o la oferente bajo su responsabilidad</w:t>
            </w:r>
          </w:p>
          <w:p>
            <w:pPr>
              <w:pStyle w:val="TableParagraph"/>
              <w:spacing w:line="221" w:lineRule="exact" w:before="1"/>
              <w:ind w:left="3"/>
              <w:jc w:val="both"/>
              <w:rPr>
                <w:sz w:val="20"/>
              </w:rPr>
            </w:pPr>
            <w:r>
              <w:rPr>
                <w:sz w:val="20"/>
              </w:rPr>
              <w:t>acompañe una traducción libre de su contenido.</w:t>
            </w:r>
          </w:p>
        </w:tc>
      </w:tr>
      <w:tr>
        <w:trPr>
          <w:trHeight w:val="730" w:hRule="atLeast"/>
        </w:trPr>
        <w:tc>
          <w:tcPr>
            <w:tcW w:w="10632" w:type="dxa"/>
            <w:gridSpan w:val="2"/>
          </w:tcPr>
          <w:p>
            <w:pPr>
              <w:pStyle w:val="TableParagraph"/>
              <w:spacing w:line="240" w:lineRule="atLeast"/>
              <w:ind w:left="3" w:right="141"/>
              <w:jc w:val="both"/>
              <w:rPr>
                <w:sz w:val="20"/>
              </w:rPr>
            </w:pPr>
            <w:r>
              <w:rPr>
                <w:b/>
                <w:sz w:val="20"/>
              </w:rPr>
              <w:t>4.8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Administración en virtud de contrataciones anteriores o pendientes de</w:t>
            </w:r>
            <w:r>
              <w:rPr>
                <w:spacing w:val="-10"/>
                <w:sz w:val="20"/>
              </w:rPr>
              <w:t> </w:t>
            </w:r>
            <w:r>
              <w:rPr>
                <w:sz w:val="20"/>
              </w:rPr>
              <w:t>finiquito.</w:t>
            </w:r>
          </w:p>
        </w:tc>
      </w:tr>
      <w:tr>
        <w:trPr>
          <w:trHeight w:val="1220" w:hRule="atLeast"/>
        </w:trPr>
        <w:tc>
          <w:tcPr>
            <w:tcW w:w="10632" w:type="dxa"/>
            <w:gridSpan w:val="2"/>
          </w:tcPr>
          <w:p>
            <w:pPr>
              <w:pStyle w:val="TableParagraph"/>
              <w:spacing w:line="240" w:lineRule="atLeast" w:before="2"/>
              <w:ind w:left="3"/>
              <w:rPr>
                <w:sz w:val="20"/>
              </w:rPr>
            </w:pPr>
            <w:r>
              <w:rPr>
                <w:b/>
                <w:sz w:val="20"/>
              </w:rPr>
              <w:t>4.9 </w:t>
            </w:r>
            <w:r>
              <w:rPr>
                <w:sz w:val="20"/>
              </w:rPr>
              <w:t>Quienes participen en este proceso de contratación deben observar y ajustarse a lo indicado en los documentos adjuntos denominados Oferta económica y especificaciones técnicas, Apartado declaraciones juradas y Apartado condiciones generales. Adicionalmente deben ajustarse a lo estipulado en la Ley de Contratación Administrativa y su Reglamento, Reglamento Especial para la Promoción de las PYMES en las Compras de Bienes y Servicios de la Administración, Ley de impuesto sobre la renta, Reglamento para las Operaciones Cambiarias de Contado.</w:t>
            </w:r>
          </w:p>
        </w:tc>
      </w:tr>
      <w:tr>
        <w:trPr>
          <w:trHeight w:val="1218" w:hRule="atLeast"/>
        </w:trPr>
        <w:tc>
          <w:tcPr>
            <w:tcW w:w="10632" w:type="dxa"/>
            <w:gridSpan w:val="2"/>
          </w:tcPr>
          <w:p>
            <w:pPr>
              <w:pStyle w:val="TableParagraph"/>
              <w:ind w:left="3" w:right="139"/>
              <w:jc w:val="both"/>
              <w:rPr>
                <w:sz w:val="20"/>
              </w:rPr>
            </w:pPr>
            <w:r>
              <w:rPr>
                <w:b/>
                <w:sz w:val="20"/>
              </w:rPr>
              <w:t>4.10 </w:t>
            </w:r>
            <w:r>
              <w:rPr>
                <w:sz w:val="20"/>
              </w:rPr>
              <w:t>Para el caso de ofertas en consorcio, el consorcio y sus integrantes deberán sujetarse las estipulaciones contempladas en este cartel, y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menos los</w:t>
            </w:r>
            <w:r>
              <w:rPr>
                <w:spacing w:val="1"/>
                <w:sz w:val="20"/>
              </w:rPr>
              <w:t> </w:t>
            </w:r>
            <w:r>
              <w:rPr>
                <w:sz w:val="20"/>
              </w:rPr>
              <w:t>aspectos</w:t>
            </w:r>
          </w:p>
          <w:p>
            <w:pPr>
              <w:pStyle w:val="TableParagraph"/>
              <w:spacing w:line="225" w:lineRule="exact"/>
              <w:ind w:left="3"/>
              <w:jc w:val="both"/>
              <w:rPr>
                <w:sz w:val="20"/>
              </w:rPr>
            </w:pPr>
            <w:r>
              <w:rPr>
                <w:sz w:val="20"/>
              </w:rPr>
              <w:t>estipulados en el artículo 75 del citado Reglamento.</w:t>
            </w:r>
          </w:p>
        </w:tc>
      </w:tr>
      <w:tr>
        <w:trPr>
          <w:trHeight w:val="486" w:hRule="atLeast"/>
        </w:trPr>
        <w:tc>
          <w:tcPr>
            <w:tcW w:w="10632" w:type="dxa"/>
            <w:gridSpan w:val="2"/>
            <w:tcBorders>
              <w:bottom w:val="single" w:sz="4" w:space="0" w:color="0000FF"/>
            </w:tcBorders>
          </w:tcPr>
          <w:p>
            <w:pPr>
              <w:pStyle w:val="TableParagraph"/>
              <w:spacing w:line="240" w:lineRule="atLeast"/>
              <w:ind w:left="3"/>
              <w:rPr>
                <w:b/>
                <w:sz w:val="20"/>
              </w:rPr>
            </w:pPr>
            <w:r>
              <w:rPr>
                <w:b/>
                <w:sz w:val="20"/>
              </w:rPr>
              <w:t>4.11 </w:t>
            </w:r>
            <w:r>
              <w:rPr>
                <w:sz w:val="20"/>
              </w:rPr>
              <w:t>Este pliego de condiciones está disponible en la página web del Departamento de Proveeduría</w:t>
            </w:r>
            <w:r>
              <w:rPr>
                <w:color w:val="0000FF"/>
                <w:sz w:val="20"/>
              </w:rPr>
              <w:t> </w:t>
            </w:r>
            <w:hyperlink r:id="rId12">
              <w:r>
                <w:rPr>
                  <w:b/>
                  <w:color w:val="0000FF"/>
                  <w:sz w:val="20"/>
                  <w:u w:val="single" w:color="0000FF"/>
                </w:rPr>
                <w:t>https://www.poder-</w:t>
              </w:r>
            </w:hyperlink>
            <w:hyperlink r:id="rId12">
              <w:r>
                <w:rPr>
                  <w:b/>
                  <w:color w:val="0000FF"/>
                  <w:sz w:val="20"/>
                </w:rPr>
                <w:t> judicial.go.cr/proveeduria</w:t>
              </w:r>
              <w:r>
                <w:rPr>
                  <w:sz w:val="20"/>
                </w:rPr>
                <w:t>. </w:t>
              </w:r>
            </w:hyperlink>
            <w:r>
              <w:rPr>
                <w:sz w:val="20"/>
              </w:rPr>
              <w:t>En el apartado de </w:t>
            </w:r>
            <w:r>
              <w:rPr>
                <w:b/>
                <w:sz w:val="20"/>
              </w:rPr>
              <w:t>Contrataciones disponibles.</w:t>
            </w:r>
          </w:p>
        </w:tc>
      </w:tr>
      <w:tr>
        <w:trPr>
          <w:trHeight w:val="488" w:hRule="atLeast"/>
        </w:trPr>
        <w:tc>
          <w:tcPr>
            <w:tcW w:w="10632" w:type="dxa"/>
            <w:gridSpan w:val="2"/>
            <w:tcBorders>
              <w:top w:val="single" w:sz="4" w:space="0" w:color="0000FF"/>
            </w:tcBorders>
          </w:tcPr>
          <w:p>
            <w:pPr>
              <w:pStyle w:val="TableParagraph"/>
              <w:spacing w:line="240" w:lineRule="atLeast" w:before="2"/>
              <w:ind w:left="3"/>
              <w:rPr>
                <w:sz w:val="20"/>
              </w:rPr>
            </w:pPr>
            <w:r>
              <w:rPr>
                <w:b/>
                <w:sz w:val="20"/>
              </w:rPr>
              <w:t>4.12 </w:t>
            </w:r>
            <w:r>
              <w:rPr>
                <w:sz w:val="20"/>
              </w:rPr>
              <w:t>La propuesta de las declaraciones juradas que debe adjuntarse a la oferta se encuentra en el Apartado 1 de este pliego de condiciones.</w:t>
            </w:r>
          </w:p>
        </w:tc>
      </w:tr>
      <w:tr>
        <w:trPr>
          <w:trHeight w:val="238" w:hRule="atLeast"/>
        </w:trPr>
        <w:tc>
          <w:tcPr>
            <w:tcW w:w="10632" w:type="dxa"/>
            <w:gridSpan w:val="2"/>
          </w:tcPr>
          <w:p>
            <w:pPr>
              <w:pStyle w:val="TableParagraph"/>
              <w:spacing w:line="219" w:lineRule="exact"/>
              <w:ind w:left="3"/>
              <w:rPr>
                <w:sz w:val="20"/>
              </w:rPr>
            </w:pPr>
            <w:r>
              <w:rPr>
                <w:b/>
                <w:sz w:val="20"/>
              </w:rPr>
              <w:t>4.13 </w:t>
            </w:r>
            <w:r>
              <w:rPr>
                <w:sz w:val="20"/>
              </w:rPr>
              <w:t>No se autoriza la presentación de ofertas en forma conjunta.</w:t>
            </w:r>
          </w:p>
        </w:tc>
      </w:tr>
      <w:tr>
        <w:trPr>
          <w:trHeight w:val="245" w:hRule="atLeast"/>
        </w:trPr>
        <w:tc>
          <w:tcPr>
            <w:tcW w:w="10632" w:type="dxa"/>
            <w:gridSpan w:val="2"/>
          </w:tcPr>
          <w:p>
            <w:pPr>
              <w:pStyle w:val="TableParagraph"/>
              <w:spacing w:line="221" w:lineRule="exact" w:before="4"/>
              <w:ind w:left="3"/>
              <w:rPr>
                <w:sz w:val="20"/>
              </w:rPr>
            </w:pPr>
            <w:r>
              <w:rPr>
                <w:b/>
                <w:sz w:val="20"/>
              </w:rPr>
              <w:t>4.14 </w:t>
            </w:r>
            <w:r>
              <w:rPr>
                <w:sz w:val="20"/>
              </w:rPr>
              <w:t>No se aceptarán ofertas que requieran el pago anticipado.</w:t>
            </w:r>
          </w:p>
        </w:tc>
      </w:tr>
      <w:tr>
        <w:trPr>
          <w:trHeight w:val="1218" w:hRule="atLeast"/>
        </w:trPr>
        <w:tc>
          <w:tcPr>
            <w:tcW w:w="10632" w:type="dxa"/>
            <w:gridSpan w:val="2"/>
          </w:tcPr>
          <w:p>
            <w:pPr>
              <w:pStyle w:val="TableParagraph"/>
              <w:spacing w:line="240" w:lineRule="atLeast"/>
              <w:ind w:left="3" w:right="137"/>
              <w:jc w:val="both"/>
              <w:rPr>
                <w:sz w:val="20"/>
              </w:rPr>
            </w:pPr>
            <w:r>
              <w:rPr>
                <w:b/>
                <w:sz w:val="20"/>
              </w:rPr>
              <w:t>4.15 </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de recibido el recurso para que se remita el documento original o con la firma válida para su admisibilidad en caso de ser electrónico, según se establece en el art. 187 del Reglamento a la Ley de Contratación Administrativa y art. 8 y 9 de la Ley N° 8454 “Ley de Certificados, firmas digitales y documentos</w:t>
            </w:r>
            <w:r>
              <w:rPr>
                <w:spacing w:val="-7"/>
                <w:sz w:val="20"/>
              </w:rPr>
              <w:t> </w:t>
            </w:r>
            <w:r>
              <w:rPr>
                <w:sz w:val="20"/>
              </w:rPr>
              <w:t>electrónicos”.</w:t>
            </w:r>
          </w:p>
        </w:tc>
      </w:tr>
      <w:tr>
        <w:trPr>
          <w:trHeight w:val="275" w:hRule="atLeast"/>
        </w:trPr>
        <w:tc>
          <w:tcPr>
            <w:tcW w:w="10632" w:type="dxa"/>
            <w:gridSpan w:val="2"/>
          </w:tcPr>
          <w:p>
            <w:pPr>
              <w:pStyle w:val="TableParagraph"/>
              <w:spacing w:line="237" w:lineRule="exact" w:before="18"/>
              <w:ind w:left="3"/>
              <w:rPr>
                <w:sz w:val="20"/>
              </w:rPr>
            </w:pPr>
            <w:r>
              <w:rPr>
                <w:b/>
                <w:sz w:val="20"/>
              </w:rPr>
              <w:t>4.16 </w:t>
            </w:r>
            <w:r>
              <w:rPr>
                <w:sz w:val="20"/>
              </w:rPr>
              <w:t>De conformidad con el Decreto Ejecutivo 33111-MEIC del 6 de abril de 2006 “Reglamento a la Ley de Fortalecimiento de las</w:t>
            </w:r>
          </w:p>
        </w:tc>
      </w:tr>
    </w:tbl>
    <w:p>
      <w:pPr>
        <w:spacing w:after="0" w:line="237" w:lineRule="exact"/>
        <w:rPr>
          <w:sz w:val="20"/>
        </w:rPr>
        <w:sectPr>
          <w:pgSz w:w="11910" w:h="16840"/>
          <w:pgMar w:header="0" w:footer="0" w:top="1120" w:bottom="0" w:left="340" w:right="540"/>
        </w:sectPr>
      </w:pPr>
    </w:p>
    <w:p>
      <w:pPr>
        <w:pStyle w:val="BodyText"/>
        <w:spacing w:after="1"/>
        <w:rPr>
          <w:rFonts w:ascii="Times New Roman"/>
          <w:sz w:val="13"/>
        </w:rPr>
      </w:pPr>
      <w:r>
        <w:rPr/>
        <w:pict>
          <v:line style="position:absolute;mso-position-horizontal-relative:page;mso-position-vertical-relative:page;z-index:251661312" from=".000001pt,57.151894pt" to="491.65pt,57.599989pt" stroked="true" strokeweight=".737pt" strokecolor="#0000ff">
            <v:stroke dashstyle="solid"/>
            <w10:wrap type="none"/>
          </v:line>
        </w:pic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2"/>
      </w:tblGrid>
      <w:tr>
        <w:trPr>
          <w:trHeight w:val="1710" w:hRule="atLeast"/>
        </w:trPr>
        <w:tc>
          <w:tcPr>
            <w:tcW w:w="10632" w:type="dxa"/>
          </w:tcPr>
          <w:p>
            <w:pPr>
              <w:pStyle w:val="TableParagraph"/>
              <w:spacing w:line="240" w:lineRule="atLeast" w:before="4"/>
              <w:ind w:left="3" w:right="138"/>
              <w:jc w:val="both"/>
              <w:rPr>
                <w:sz w:val="20"/>
              </w:rPr>
            </w:pPr>
            <w:r>
              <w:rPr>
                <w:sz w:val="20"/>
              </w:rPr>
              <w:t>PYMES”.Ley No.8262 del 2 de mayo de 2002 y la Ley de Incentivos 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consorcio, bastará con que uno de sus miembros demuestre que es PYME en el bien o servicio </w:t>
            </w:r>
            <w:r>
              <w:rPr>
                <w:spacing w:val="-2"/>
                <w:sz w:val="20"/>
              </w:rPr>
              <w:t>que </w:t>
            </w:r>
            <w:r>
              <w:rPr>
                <w:sz w:val="20"/>
              </w:rPr>
              <w:t>se contrata, para lo cual deberá presentar dicha certificación vigente a la apertura de</w:t>
            </w:r>
            <w:r>
              <w:rPr>
                <w:spacing w:val="-11"/>
                <w:sz w:val="20"/>
              </w:rPr>
              <w:t> </w:t>
            </w:r>
            <w:r>
              <w:rPr>
                <w:sz w:val="20"/>
              </w:rPr>
              <w:t>ofertas).</w:t>
            </w:r>
          </w:p>
        </w:tc>
      </w:tr>
      <w:tr>
        <w:trPr>
          <w:trHeight w:val="271" w:hRule="atLeast"/>
        </w:trPr>
        <w:tc>
          <w:tcPr>
            <w:tcW w:w="10632" w:type="dxa"/>
          </w:tcPr>
          <w:p>
            <w:pPr>
              <w:pStyle w:val="TableParagraph"/>
              <w:spacing w:line="237" w:lineRule="exact" w:before="13"/>
              <w:ind w:left="3"/>
              <w:rPr>
                <w:sz w:val="20"/>
              </w:rPr>
            </w:pPr>
            <w:r>
              <w:rPr>
                <w:b/>
                <w:sz w:val="20"/>
              </w:rPr>
              <w:t>4.17 </w:t>
            </w:r>
            <w:r>
              <w:rPr>
                <w:sz w:val="20"/>
              </w:rPr>
              <w:t>En ningún caso se aceptarán referencias de sitios de Internet o página web para lograr la completitud de la oferta.</w:t>
            </w:r>
          </w:p>
        </w:tc>
      </w:tr>
      <w:tr>
        <w:trPr>
          <w:trHeight w:val="977" w:hRule="atLeast"/>
        </w:trPr>
        <w:tc>
          <w:tcPr>
            <w:tcW w:w="10632" w:type="dxa"/>
          </w:tcPr>
          <w:p>
            <w:pPr>
              <w:pStyle w:val="TableParagraph"/>
              <w:spacing w:line="240" w:lineRule="atLeast" w:before="4"/>
              <w:ind w:left="3" w:right="141"/>
              <w:jc w:val="both"/>
              <w:rPr>
                <w:b/>
                <w:sz w:val="20"/>
              </w:rPr>
            </w:pPr>
            <w:r>
              <w:rPr>
                <w:b/>
                <w:sz w:val="20"/>
              </w:rPr>
              <w:t>4.18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color w:val="0000FF"/>
                <w:sz w:val="20"/>
              </w:rPr>
              <w:t> </w:t>
            </w:r>
            <w:hyperlink r:id="rId12">
              <w:r>
                <w:rPr>
                  <w:b/>
                  <w:color w:val="0000FF"/>
                  <w:sz w:val="20"/>
                  <w:u w:val="single" w:color="0000FF"/>
                </w:rPr>
                <w:t>https://www.poder-judicial.go.cr/proveeduria</w:t>
              </w:r>
              <w:r>
                <w:rPr>
                  <w:sz w:val="20"/>
                </w:rPr>
                <w:t>, </w:t>
              </w:r>
            </w:hyperlink>
            <w:r>
              <w:rPr>
                <w:sz w:val="20"/>
              </w:rPr>
              <w:t>en “Consultas y Servicios”, apartado de </w:t>
            </w:r>
            <w:r>
              <w:rPr>
                <w:b/>
                <w:sz w:val="20"/>
              </w:rPr>
              <w:t>Información de interés para los proveedores.</w:t>
            </w:r>
          </w:p>
        </w:tc>
      </w:tr>
      <w:tr>
        <w:trPr>
          <w:trHeight w:val="730" w:hRule="atLeast"/>
        </w:trPr>
        <w:tc>
          <w:tcPr>
            <w:tcW w:w="10632" w:type="dxa"/>
          </w:tcPr>
          <w:p>
            <w:pPr>
              <w:pStyle w:val="TableParagraph"/>
              <w:ind w:left="3" w:right="221"/>
              <w:rPr>
                <w:sz w:val="20"/>
              </w:rPr>
            </w:pPr>
            <w:r>
              <w:rPr>
                <w:b/>
                <w:sz w:val="20"/>
              </w:rPr>
              <w:t>4.19 </w:t>
            </w:r>
            <w:r>
              <w:rPr>
                <w:sz w:val="20"/>
              </w:rPr>
              <w:t>La Auditoria Judicial tendrá la potestad en la fiscalización del cumplimiento de las cláusulas y del fin público desde la emisión del pliego de condiciones, de conformidad con el acuerdo tomado por el Consejo Superior del Poder Judicial, en</w:t>
            </w:r>
            <w:r>
              <w:rPr>
                <w:spacing w:val="26"/>
                <w:sz w:val="20"/>
              </w:rPr>
              <w:t> </w:t>
            </w:r>
            <w:r>
              <w:rPr>
                <w:sz w:val="20"/>
              </w:rPr>
              <w:t>la</w:t>
            </w:r>
          </w:p>
          <w:p>
            <w:pPr>
              <w:pStyle w:val="TableParagraph"/>
              <w:spacing w:line="225" w:lineRule="exact"/>
              <w:ind w:left="3"/>
              <w:rPr>
                <w:sz w:val="20"/>
              </w:rPr>
            </w:pPr>
            <w:r>
              <w:rPr>
                <w:sz w:val="20"/>
              </w:rPr>
              <w:t>sesión N° 54-18 celebrada el 14 de junio del año 2018, artículo XXII</w:t>
            </w:r>
          </w:p>
        </w:tc>
      </w:tr>
    </w:tbl>
    <w:p>
      <w:pPr>
        <w:spacing w:after="0" w:line="225" w:lineRule="exact"/>
        <w:rPr>
          <w:sz w:val="20"/>
        </w:rPr>
        <w:sectPr>
          <w:pgSz w:w="11910" w:h="16840"/>
          <w:pgMar w:header="0" w:footer="0" w:top="1120" w:bottom="280" w:left="340" w:right="540"/>
        </w:sectPr>
      </w:pPr>
    </w:p>
    <w:p>
      <w:pPr>
        <w:pStyle w:val="BodyText"/>
        <w:rPr>
          <w:rFonts w:ascii="Times New Roman"/>
        </w:rPr>
      </w:pPr>
      <w:r>
        <w:rPr>
          <w:rFonts w:ascii="Times New Roman"/>
        </w:rPr>
        <w:pict>
          <v:group style="width:762.7pt;height:96.2pt;mso-position-horizontal-relative:char;mso-position-vertical-relative:line" coordorigin="0,0" coordsize="15254,1924">
            <v:shape style="position:absolute;left:12869;top:1142;width:697;height:782" type="#_x0000_t75" stroked="false">
              <v:imagedata r:id="rId14" o:title=""/>
            </v:shape>
            <v:shape style="position:absolute;left:0;top:0;width:15254;height:1258" type="#_x0000_t75" stroked="false">
              <v:imagedata r:id="rId15" o:title=""/>
            </v:shape>
            <v:shape style="position:absolute;left:0;top:0;width:15254;height:1924" type="#_x0000_t202" filled="false" stroked="false">
              <v:textbox inset="0,0,0,0">
                <w:txbxContent>
                  <w:p>
                    <w:pPr>
                      <w:spacing w:line="240" w:lineRule="auto" w:before="0"/>
                      <w:rPr>
                        <w:rFonts w:ascii="Times New Roman"/>
                        <w:sz w:val="24"/>
                      </w:rPr>
                    </w:pPr>
                  </w:p>
                  <w:p>
                    <w:pPr>
                      <w:spacing w:line="240" w:lineRule="auto" w:before="0"/>
                      <w:rPr>
                        <w:rFonts w:ascii="Times New Roman"/>
                        <w:sz w:val="24"/>
                      </w:rPr>
                    </w:pPr>
                  </w:p>
                  <w:p>
                    <w:pPr>
                      <w:spacing w:line="240" w:lineRule="auto" w:before="0"/>
                      <w:rPr>
                        <w:rFonts w:ascii="Times New Roman"/>
                        <w:sz w:val="24"/>
                      </w:rPr>
                    </w:pPr>
                  </w:p>
                  <w:p>
                    <w:pPr>
                      <w:spacing w:line="240" w:lineRule="auto" w:before="0"/>
                      <w:rPr>
                        <w:rFonts w:ascii="Times New Roman"/>
                        <w:sz w:val="24"/>
                      </w:rPr>
                    </w:pPr>
                  </w:p>
                  <w:p>
                    <w:pPr>
                      <w:spacing w:before="155"/>
                      <w:ind w:left="5841" w:right="5437" w:firstLine="0"/>
                      <w:jc w:val="center"/>
                      <w:rPr>
                        <w:b/>
                        <w:sz w:val="24"/>
                      </w:rPr>
                    </w:pPr>
                    <w:r>
                      <w:rPr>
                        <w:b/>
                        <w:sz w:val="24"/>
                      </w:rPr>
                      <w:t>PODER JUDICIAL</w:t>
                    </w:r>
                  </w:p>
                  <w:p>
                    <w:pPr>
                      <w:spacing w:before="3"/>
                      <w:ind w:left="5841" w:right="5444" w:firstLine="0"/>
                      <w:jc w:val="center"/>
                      <w:rPr>
                        <w:b/>
                        <w:sz w:val="24"/>
                      </w:rPr>
                    </w:pPr>
                    <w:r>
                      <w:rPr>
                        <w:b/>
                        <w:sz w:val="24"/>
                      </w:rPr>
                      <w:t>Administración Regional de Puntarenas</w:t>
                    </w:r>
                  </w:p>
                </w:txbxContent>
              </v:textbox>
              <w10:wrap type="none"/>
            </v:shape>
          </v:group>
        </w:pict>
      </w:r>
      <w:r>
        <w:rPr>
          <w:rFonts w:ascii="Times New Roman"/>
        </w:rPr>
      </w:r>
    </w:p>
    <w:p>
      <w:pPr>
        <w:pStyle w:val="BodyText"/>
        <w:spacing w:before="10"/>
        <w:rPr>
          <w:rFonts w:ascii="Times New Roman"/>
          <w:sz w:val="16"/>
        </w:r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568"/>
        <w:gridCol w:w="568"/>
        <w:gridCol w:w="992"/>
        <w:gridCol w:w="8504"/>
        <w:gridCol w:w="1276"/>
        <w:gridCol w:w="1704"/>
      </w:tblGrid>
      <w:tr>
        <w:trPr>
          <w:trHeight w:val="293" w:hRule="atLeast"/>
        </w:trPr>
        <w:tc>
          <w:tcPr>
            <w:tcW w:w="14068" w:type="dxa"/>
            <w:gridSpan w:val="7"/>
            <w:shd w:val="clear" w:color="auto" w:fill="99CCFF"/>
          </w:tcPr>
          <w:p>
            <w:pPr>
              <w:pStyle w:val="TableParagraph"/>
              <w:spacing w:before="28"/>
              <w:ind w:left="5067"/>
              <w:rPr>
                <w:b/>
                <w:sz w:val="20"/>
              </w:rPr>
            </w:pPr>
            <w:r>
              <w:rPr>
                <w:b/>
                <w:sz w:val="20"/>
              </w:rPr>
              <w:t>5. Oferta económica y especificaciones técnicas</w:t>
            </w:r>
          </w:p>
        </w:tc>
      </w:tr>
      <w:tr>
        <w:trPr>
          <w:trHeight w:val="297" w:hRule="atLeast"/>
        </w:trPr>
        <w:tc>
          <w:tcPr>
            <w:tcW w:w="14068" w:type="dxa"/>
            <w:gridSpan w:val="7"/>
            <w:shd w:val="clear" w:color="auto" w:fill="99CCFF"/>
          </w:tcPr>
          <w:p>
            <w:pPr>
              <w:pStyle w:val="TableParagraph"/>
              <w:spacing w:before="28"/>
              <w:ind w:left="6016" w:right="6012"/>
              <w:jc w:val="center"/>
              <w:rPr>
                <w:b/>
                <w:sz w:val="20"/>
              </w:rPr>
            </w:pPr>
            <w:r>
              <w:rPr>
                <w:b/>
                <w:sz w:val="20"/>
              </w:rPr>
              <w:t>2020CD-000015-ARPCM</w:t>
            </w:r>
          </w:p>
        </w:tc>
      </w:tr>
      <w:tr>
        <w:trPr>
          <w:trHeight w:val="1138" w:hRule="atLeast"/>
        </w:trPr>
        <w:tc>
          <w:tcPr>
            <w:tcW w:w="456" w:type="dxa"/>
            <w:shd w:val="clear" w:color="auto" w:fill="99CCFF"/>
          </w:tcPr>
          <w:p>
            <w:pPr>
              <w:pStyle w:val="TableParagraph"/>
              <w:rPr>
                <w:rFonts w:ascii="Times New Roman"/>
                <w:sz w:val="20"/>
              </w:rPr>
            </w:pPr>
          </w:p>
          <w:p>
            <w:pPr>
              <w:pStyle w:val="TableParagraph"/>
              <w:rPr>
                <w:rFonts w:ascii="Times New Roman"/>
                <w:sz w:val="19"/>
              </w:rPr>
            </w:pPr>
          </w:p>
          <w:p>
            <w:pPr>
              <w:pStyle w:val="TableParagraph"/>
              <w:ind w:left="85" w:right="79"/>
              <w:jc w:val="center"/>
              <w:rPr>
                <w:b/>
                <w:sz w:val="20"/>
              </w:rPr>
            </w:pPr>
            <w:r>
              <w:rPr>
                <w:b/>
                <w:sz w:val="20"/>
              </w:rPr>
              <w:t>Lín</w:t>
            </w:r>
          </w:p>
        </w:tc>
        <w:tc>
          <w:tcPr>
            <w:tcW w:w="568" w:type="dxa"/>
            <w:shd w:val="clear" w:color="auto" w:fill="99CCFF"/>
          </w:tcPr>
          <w:p>
            <w:pPr>
              <w:pStyle w:val="TableParagraph"/>
              <w:rPr>
                <w:rFonts w:ascii="Times New Roman"/>
                <w:sz w:val="20"/>
              </w:rPr>
            </w:pPr>
          </w:p>
          <w:p>
            <w:pPr>
              <w:pStyle w:val="TableParagraph"/>
              <w:rPr>
                <w:rFonts w:ascii="Times New Roman"/>
                <w:sz w:val="19"/>
              </w:rPr>
            </w:pPr>
          </w:p>
          <w:p>
            <w:pPr>
              <w:pStyle w:val="TableParagraph"/>
              <w:ind w:left="55" w:right="50"/>
              <w:jc w:val="center"/>
              <w:rPr>
                <w:b/>
                <w:sz w:val="20"/>
              </w:rPr>
            </w:pPr>
            <w:r>
              <w:rPr>
                <w:b/>
                <w:sz w:val="20"/>
              </w:rPr>
              <w:t>Cant</w:t>
            </w:r>
          </w:p>
        </w:tc>
        <w:tc>
          <w:tcPr>
            <w:tcW w:w="568" w:type="dxa"/>
            <w:shd w:val="clear" w:color="auto" w:fill="99CCFF"/>
          </w:tcPr>
          <w:p>
            <w:pPr>
              <w:pStyle w:val="TableParagraph"/>
              <w:rPr>
                <w:rFonts w:ascii="Times New Roman"/>
                <w:sz w:val="20"/>
              </w:rPr>
            </w:pPr>
          </w:p>
          <w:p>
            <w:pPr>
              <w:pStyle w:val="TableParagraph"/>
              <w:rPr>
                <w:rFonts w:ascii="Times New Roman"/>
                <w:sz w:val="19"/>
              </w:rPr>
            </w:pPr>
          </w:p>
          <w:p>
            <w:pPr>
              <w:pStyle w:val="TableParagraph"/>
              <w:ind w:left="55" w:right="50"/>
              <w:jc w:val="center"/>
              <w:rPr>
                <w:b/>
                <w:sz w:val="20"/>
              </w:rPr>
            </w:pPr>
            <w:r>
              <w:rPr>
                <w:b/>
                <w:sz w:val="20"/>
              </w:rPr>
              <w:t>U.M.</w:t>
            </w:r>
          </w:p>
        </w:tc>
        <w:tc>
          <w:tcPr>
            <w:tcW w:w="992" w:type="dxa"/>
            <w:shd w:val="clear" w:color="auto" w:fill="99CCFF"/>
          </w:tcPr>
          <w:p>
            <w:pPr>
              <w:pStyle w:val="TableParagraph"/>
              <w:spacing w:before="6"/>
              <w:rPr>
                <w:rFonts w:ascii="Times New Roman"/>
                <w:sz w:val="28"/>
              </w:rPr>
            </w:pPr>
          </w:p>
          <w:p>
            <w:pPr>
              <w:pStyle w:val="TableParagraph"/>
              <w:ind w:left="274"/>
              <w:rPr>
                <w:b/>
                <w:sz w:val="20"/>
              </w:rPr>
            </w:pPr>
            <w:r>
              <w:rPr>
                <w:b/>
                <w:sz w:val="20"/>
              </w:rPr>
              <w:t>IVA a</w:t>
            </w:r>
          </w:p>
          <w:p>
            <w:pPr>
              <w:pStyle w:val="TableParagraph"/>
              <w:ind w:left="214"/>
              <w:rPr>
                <w:b/>
                <w:sz w:val="20"/>
              </w:rPr>
            </w:pPr>
            <w:r>
              <w:rPr>
                <w:b/>
                <w:sz w:val="20"/>
              </w:rPr>
              <w:t>aplicar</w:t>
            </w:r>
          </w:p>
        </w:tc>
        <w:tc>
          <w:tcPr>
            <w:tcW w:w="8504" w:type="dxa"/>
            <w:shd w:val="clear" w:color="auto" w:fill="99CCFF"/>
          </w:tcPr>
          <w:p>
            <w:pPr>
              <w:pStyle w:val="TableParagraph"/>
              <w:rPr>
                <w:rFonts w:ascii="Times New Roman"/>
                <w:sz w:val="20"/>
              </w:rPr>
            </w:pPr>
          </w:p>
          <w:p>
            <w:pPr>
              <w:pStyle w:val="TableParagraph"/>
              <w:rPr>
                <w:rFonts w:ascii="Times New Roman"/>
                <w:sz w:val="19"/>
              </w:rPr>
            </w:pPr>
          </w:p>
          <w:p>
            <w:pPr>
              <w:pStyle w:val="TableParagraph"/>
              <w:ind w:left="3025" w:right="3028"/>
              <w:jc w:val="center"/>
              <w:rPr>
                <w:b/>
                <w:sz w:val="20"/>
              </w:rPr>
            </w:pPr>
            <w:r>
              <w:rPr>
                <w:b/>
                <w:sz w:val="20"/>
              </w:rPr>
              <w:t>Descripción del bien/servicio</w:t>
            </w:r>
          </w:p>
        </w:tc>
        <w:tc>
          <w:tcPr>
            <w:tcW w:w="1276" w:type="dxa"/>
            <w:shd w:val="clear" w:color="auto" w:fill="99CCFF"/>
          </w:tcPr>
          <w:p>
            <w:pPr>
              <w:pStyle w:val="TableParagraph"/>
              <w:spacing w:before="9"/>
              <w:rPr>
                <w:rFonts w:ascii="Times New Roman"/>
                <w:sz w:val="17"/>
              </w:rPr>
            </w:pPr>
          </w:p>
          <w:p>
            <w:pPr>
              <w:pStyle w:val="TableParagraph"/>
              <w:ind w:left="191" w:right="143" w:hanging="42"/>
              <w:jc w:val="center"/>
              <w:rPr>
                <w:b/>
                <w:sz w:val="20"/>
              </w:rPr>
            </w:pPr>
            <w:r>
              <w:rPr>
                <w:b/>
                <w:sz w:val="20"/>
              </w:rPr>
              <w:t>Precio Unitario incluye IVA</w:t>
            </w:r>
          </w:p>
        </w:tc>
        <w:tc>
          <w:tcPr>
            <w:tcW w:w="1704" w:type="dxa"/>
            <w:shd w:val="clear" w:color="auto" w:fill="99CCFF"/>
          </w:tcPr>
          <w:p>
            <w:pPr>
              <w:pStyle w:val="TableParagraph"/>
              <w:spacing w:before="6"/>
              <w:rPr>
                <w:rFonts w:ascii="Times New Roman"/>
                <w:sz w:val="28"/>
              </w:rPr>
            </w:pPr>
          </w:p>
          <w:p>
            <w:pPr>
              <w:pStyle w:val="TableParagraph"/>
              <w:ind w:left="403" w:right="331" w:hanging="48"/>
              <w:rPr>
                <w:b/>
                <w:sz w:val="20"/>
              </w:rPr>
            </w:pPr>
            <w:r>
              <w:rPr>
                <w:b/>
                <w:sz w:val="20"/>
              </w:rPr>
              <w:t>Precio Total Incluye IVA</w:t>
            </w:r>
          </w:p>
        </w:tc>
      </w:tr>
      <w:tr>
        <w:trPr>
          <w:trHeight w:val="490" w:hRule="atLeast"/>
        </w:trPr>
        <w:tc>
          <w:tcPr>
            <w:tcW w:w="456" w:type="dxa"/>
          </w:tcPr>
          <w:p>
            <w:pPr>
              <w:pStyle w:val="TableParagraph"/>
              <w:spacing w:before="124"/>
              <w:ind w:left="5"/>
              <w:jc w:val="center"/>
              <w:rPr>
                <w:sz w:val="20"/>
              </w:rPr>
            </w:pPr>
            <w:r>
              <w:rPr>
                <w:sz w:val="20"/>
              </w:rPr>
              <w:t>1</w:t>
            </w:r>
          </w:p>
        </w:tc>
        <w:tc>
          <w:tcPr>
            <w:tcW w:w="568" w:type="dxa"/>
          </w:tcPr>
          <w:p>
            <w:pPr>
              <w:pStyle w:val="TableParagraph"/>
              <w:spacing w:before="124"/>
              <w:ind w:left="5"/>
              <w:jc w:val="center"/>
              <w:rPr>
                <w:sz w:val="20"/>
              </w:rPr>
            </w:pPr>
            <w:r>
              <w:rPr>
                <w:sz w:val="20"/>
              </w:rPr>
              <w:t>8</w:t>
            </w:r>
          </w:p>
        </w:tc>
        <w:tc>
          <w:tcPr>
            <w:tcW w:w="568" w:type="dxa"/>
          </w:tcPr>
          <w:p>
            <w:pPr>
              <w:pStyle w:val="TableParagraph"/>
              <w:spacing w:before="124"/>
              <w:ind w:left="48" w:right="50"/>
              <w:jc w:val="center"/>
              <w:rPr>
                <w:sz w:val="20"/>
              </w:rPr>
            </w:pPr>
            <w:r>
              <w:rPr>
                <w:sz w:val="20"/>
                <w:shd w:fill="FFFF00" w:color="auto" w:val="clear"/>
              </w:rPr>
              <w:t>Unid</w:t>
            </w:r>
          </w:p>
        </w:tc>
        <w:tc>
          <w:tcPr>
            <w:tcW w:w="992" w:type="dxa"/>
          </w:tcPr>
          <w:p>
            <w:pPr>
              <w:pStyle w:val="TableParagraph"/>
              <w:spacing w:before="124"/>
              <w:ind w:left="298" w:right="298"/>
              <w:jc w:val="center"/>
              <w:rPr>
                <w:sz w:val="20"/>
              </w:rPr>
            </w:pPr>
            <w:r>
              <w:rPr>
                <w:sz w:val="20"/>
                <w:shd w:fill="FFFF00" w:color="auto" w:val="clear"/>
              </w:rPr>
              <w:t>13%</w:t>
            </w:r>
          </w:p>
        </w:tc>
        <w:tc>
          <w:tcPr>
            <w:tcW w:w="8504" w:type="dxa"/>
          </w:tcPr>
          <w:p>
            <w:pPr>
              <w:pStyle w:val="TableParagraph"/>
              <w:spacing w:line="240" w:lineRule="atLeast" w:before="4"/>
              <w:ind w:left="66" w:right="63"/>
              <w:rPr>
                <w:sz w:val="20"/>
              </w:rPr>
            </w:pPr>
            <w:r>
              <w:rPr>
                <w:sz w:val="20"/>
              </w:rPr>
              <w:t>Compra cascos kevlar para la Delegación Regional de Puntarenas. Marca GIRAMSA, Modelo:  MICH (Ver especificaciones</w:t>
            </w:r>
            <w:r>
              <w:rPr>
                <w:spacing w:val="-4"/>
                <w:sz w:val="20"/>
              </w:rPr>
              <w:t> </w:t>
            </w:r>
            <w:r>
              <w:rPr>
                <w:sz w:val="20"/>
              </w:rPr>
              <w:t>técnicas)</w:t>
            </w:r>
          </w:p>
        </w:tc>
        <w:tc>
          <w:tcPr>
            <w:tcW w:w="1276" w:type="dxa"/>
          </w:tcPr>
          <w:p>
            <w:pPr>
              <w:pStyle w:val="TableParagraph"/>
              <w:spacing w:before="124"/>
              <w:ind w:right="63"/>
              <w:jc w:val="right"/>
              <w:rPr>
                <w:sz w:val="20"/>
              </w:rPr>
            </w:pPr>
            <w:r>
              <w:rPr>
                <w:sz w:val="20"/>
              </w:rPr>
              <w:t>US$495.25</w:t>
            </w:r>
          </w:p>
        </w:tc>
        <w:tc>
          <w:tcPr>
            <w:tcW w:w="1704" w:type="dxa"/>
          </w:tcPr>
          <w:p>
            <w:pPr>
              <w:pStyle w:val="TableParagraph"/>
              <w:spacing w:before="124"/>
              <w:ind w:right="59"/>
              <w:jc w:val="right"/>
              <w:rPr>
                <w:sz w:val="20"/>
              </w:rPr>
            </w:pPr>
            <w:r>
              <w:rPr>
                <w:sz w:val="20"/>
              </w:rPr>
              <w:t>US$3,962.00</w:t>
            </w:r>
          </w:p>
        </w:tc>
      </w:tr>
      <w:tr>
        <w:trPr>
          <w:trHeight w:val="488" w:hRule="atLeast"/>
        </w:trPr>
        <w:tc>
          <w:tcPr>
            <w:tcW w:w="456" w:type="dxa"/>
          </w:tcPr>
          <w:p>
            <w:pPr>
              <w:pStyle w:val="TableParagraph"/>
              <w:spacing w:before="122"/>
              <w:ind w:left="5"/>
              <w:jc w:val="center"/>
              <w:rPr>
                <w:sz w:val="20"/>
              </w:rPr>
            </w:pPr>
            <w:r>
              <w:rPr>
                <w:sz w:val="20"/>
              </w:rPr>
              <w:t>2</w:t>
            </w:r>
          </w:p>
        </w:tc>
        <w:tc>
          <w:tcPr>
            <w:tcW w:w="568" w:type="dxa"/>
          </w:tcPr>
          <w:p>
            <w:pPr>
              <w:pStyle w:val="TableParagraph"/>
              <w:spacing w:before="122"/>
              <w:ind w:left="5"/>
              <w:jc w:val="center"/>
              <w:rPr>
                <w:sz w:val="20"/>
              </w:rPr>
            </w:pPr>
            <w:r>
              <w:rPr>
                <w:sz w:val="20"/>
              </w:rPr>
              <w:t>1</w:t>
            </w:r>
          </w:p>
        </w:tc>
        <w:tc>
          <w:tcPr>
            <w:tcW w:w="568" w:type="dxa"/>
          </w:tcPr>
          <w:p>
            <w:pPr>
              <w:pStyle w:val="TableParagraph"/>
              <w:spacing w:before="122"/>
              <w:ind w:left="48" w:right="50"/>
              <w:jc w:val="center"/>
              <w:rPr>
                <w:sz w:val="20"/>
              </w:rPr>
            </w:pPr>
            <w:r>
              <w:rPr>
                <w:sz w:val="20"/>
                <w:shd w:fill="FFFF00" w:color="auto" w:val="clear"/>
              </w:rPr>
              <w:t>Unid</w:t>
            </w:r>
          </w:p>
        </w:tc>
        <w:tc>
          <w:tcPr>
            <w:tcW w:w="992" w:type="dxa"/>
          </w:tcPr>
          <w:p>
            <w:pPr>
              <w:pStyle w:val="TableParagraph"/>
              <w:spacing w:before="122"/>
              <w:ind w:left="298" w:right="298"/>
              <w:jc w:val="center"/>
              <w:rPr>
                <w:sz w:val="20"/>
              </w:rPr>
            </w:pPr>
            <w:r>
              <w:rPr>
                <w:sz w:val="20"/>
                <w:shd w:fill="FFFF00" w:color="auto" w:val="clear"/>
              </w:rPr>
              <w:t>13%</w:t>
            </w:r>
          </w:p>
        </w:tc>
        <w:tc>
          <w:tcPr>
            <w:tcW w:w="8504" w:type="dxa"/>
          </w:tcPr>
          <w:p>
            <w:pPr>
              <w:pStyle w:val="TableParagraph"/>
              <w:spacing w:line="240" w:lineRule="atLeast" w:before="2"/>
              <w:ind w:left="66" w:right="63"/>
              <w:rPr>
                <w:sz w:val="20"/>
              </w:rPr>
            </w:pPr>
            <w:r>
              <w:rPr>
                <w:sz w:val="20"/>
              </w:rPr>
              <w:t>Compra de escudo balístico para la Delegación Regional de Puntarenas. Marca GIRAMSA, Modelo: DIAMANTE (Ver especificaciones técnicas)</w:t>
            </w:r>
          </w:p>
        </w:tc>
        <w:tc>
          <w:tcPr>
            <w:tcW w:w="1276" w:type="dxa"/>
          </w:tcPr>
          <w:p>
            <w:pPr>
              <w:pStyle w:val="TableParagraph"/>
              <w:spacing w:before="122"/>
              <w:ind w:right="63"/>
              <w:jc w:val="right"/>
              <w:rPr>
                <w:sz w:val="20"/>
              </w:rPr>
            </w:pPr>
            <w:r>
              <w:rPr>
                <w:sz w:val="20"/>
              </w:rPr>
              <w:t>US$3,182.55</w:t>
            </w:r>
          </w:p>
        </w:tc>
        <w:tc>
          <w:tcPr>
            <w:tcW w:w="1704" w:type="dxa"/>
          </w:tcPr>
          <w:p>
            <w:pPr>
              <w:pStyle w:val="TableParagraph"/>
              <w:spacing w:before="122"/>
              <w:ind w:right="59"/>
              <w:jc w:val="right"/>
              <w:rPr>
                <w:sz w:val="20"/>
              </w:rPr>
            </w:pPr>
            <w:r>
              <w:rPr>
                <w:sz w:val="20"/>
              </w:rPr>
              <w:t>US$3,182.55</w:t>
            </w:r>
          </w:p>
        </w:tc>
      </w:tr>
      <w:tr>
        <w:trPr>
          <w:trHeight w:val="290" w:hRule="atLeast"/>
        </w:trPr>
        <w:tc>
          <w:tcPr>
            <w:tcW w:w="456" w:type="dxa"/>
          </w:tcPr>
          <w:p>
            <w:pPr>
              <w:pStyle w:val="TableParagraph"/>
              <w:rPr>
                <w:rFonts w:ascii="Times New Roman"/>
                <w:sz w:val="20"/>
              </w:rPr>
            </w:pPr>
          </w:p>
        </w:tc>
        <w:tc>
          <w:tcPr>
            <w:tcW w:w="568" w:type="dxa"/>
          </w:tcPr>
          <w:p>
            <w:pPr>
              <w:pStyle w:val="TableParagraph"/>
              <w:rPr>
                <w:rFonts w:ascii="Times New Roman"/>
                <w:sz w:val="20"/>
              </w:rPr>
            </w:pPr>
          </w:p>
        </w:tc>
        <w:tc>
          <w:tcPr>
            <w:tcW w:w="568" w:type="dxa"/>
          </w:tcPr>
          <w:p>
            <w:pPr>
              <w:pStyle w:val="TableParagraph"/>
              <w:rPr>
                <w:rFonts w:ascii="Times New Roman"/>
                <w:sz w:val="20"/>
              </w:rPr>
            </w:pPr>
          </w:p>
        </w:tc>
        <w:tc>
          <w:tcPr>
            <w:tcW w:w="992" w:type="dxa"/>
          </w:tcPr>
          <w:p>
            <w:pPr>
              <w:pStyle w:val="TableParagraph"/>
              <w:rPr>
                <w:rFonts w:ascii="Times New Roman"/>
                <w:sz w:val="20"/>
              </w:rPr>
            </w:pPr>
          </w:p>
        </w:tc>
        <w:tc>
          <w:tcPr>
            <w:tcW w:w="8504" w:type="dxa"/>
          </w:tcPr>
          <w:p>
            <w:pPr>
              <w:pStyle w:val="TableParagraph"/>
              <w:rPr>
                <w:rFonts w:ascii="Times New Roman"/>
                <w:sz w:val="20"/>
              </w:rPr>
            </w:pPr>
          </w:p>
        </w:tc>
        <w:tc>
          <w:tcPr>
            <w:tcW w:w="1276" w:type="dxa"/>
          </w:tcPr>
          <w:p>
            <w:pPr>
              <w:pStyle w:val="TableParagraph"/>
              <w:spacing w:before="26"/>
              <w:ind w:right="63"/>
              <w:jc w:val="right"/>
              <w:rPr>
                <w:sz w:val="20"/>
              </w:rPr>
            </w:pPr>
            <w:r>
              <w:rPr>
                <w:sz w:val="20"/>
              </w:rPr>
              <w:t>Precio Total</w:t>
            </w:r>
          </w:p>
        </w:tc>
        <w:tc>
          <w:tcPr>
            <w:tcW w:w="1704" w:type="dxa"/>
          </w:tcPr>
          <w:p>
            <w:pPr>
              <w:pStyle w:val="TableParagraph"/>
              <w:spacing w:before="26"/>
              <w:ind w:right="103"/>
              <w:jc w:val="right"/>
              <w:rPr>
                <w:sz w:val="20"/>
              </w:rPr>
            </w:pPr>
            <w:r>
              <w:rPr>
                <w:sz w:val="20"/>
              </w:rPr>
              <w:t>US$7,144.55</w:t>
            </w:r>
          </w:p>
        </w:tc>
      </w:tr>
      <w:tr>
        <w:trPr>
          <w:trHeight w:val="4398" w:hRule="atLeast"/>
        </w:trPr>
        <w:tc>
          <w:tcPr>
            <w:tcW w:w="1592" w:type="dxa"/>
            <w:gridSpan w:val="3"/>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ind w:left="550" w:right="541"/>
              <w:jc w:val="center"/>
              <w:rPr>
                <w:sz w:val="20"/>
              </w:rPr>
            </w:pPr>
            <w:r>
              <w:rPr>
                <w:sz w:val="20"/>
                <w:shd w:fill="FFFF00" w:color="auto" w:val="clear"/>
              </w:rPr>
              <w:t>Nota:</w:t>
            </w:r>
          </w:p>
        </w:tc>
        <w:tc>
          <w:tcPr>
            <w:tcW w:w="12476" w:type="dxa"/>
            <w:gridSpan w:val="4"/>
          </w:tcPr>
          <w:p>
            <w:pPr>
              <w:pStyle w:val="TableParagraph"/>
              <w:spacing w:before="4"/>
              <w:ind w:left="66" w:right="55"/>
              <w:jc w:val="both"/>
              <w:rPr>
                <w:sz w:val="20"/>
              </w:rPr>
            </w:pPr>
            <w:r>
              <w:rPr>
                <w:sz w:val="20"/>
              </w:rPr>
              <w:t>Es importante señalar, que con el objetivo de facilitarle al oferente el conocimiento del impuesto que corresponde a cada artículo o servicio que debe </w:t>
            </w:r>
            <w:r>
              <w:rPr>
                <w:sz w:val="20"/>
                <w:shd w:fill="FFFF00" w:color="auto" w:val="clear"/>
              </w:rPr>
              <w:t>ofertar, en la columna que se denomina “Porcentaje de IVA a aplicar” se detalla para cada una de las líneas el porcentaje del IVA que aplica al bien o</w:t>
            </w:r>
            <w:r>
              <w:rPr>
                <w:sz w:val="20"/>
              </w:rPr>
              <w:t> </w:t>
            </w:r>
            <w:r>
              <w:rPr>
                <w:sz w:val="20"/>
                <w:shd w:fill="FFFF00" w:color="auto" w:val="clear"/>
              </w:rPr>
              <w:t>servicio a adquirir, según lo establecido en la Ley N° 9635 -Fortalecimiento de las finanzas públicas y su reglamento.</w:t>
            </w:r>
          </w:p>
          <w:p>
            <w:pPr>
              <w:pStyle w:val="TableParagraph"/>
              <w:spacing w:before="2"/>
              <w:rPr>
                <w:rFonts w:ascii="Times New Roman"/>
                <w:sz w:val="21"/>
              </w:rPr>
            </w:pPr>
          </w:p>
          <w:p>
            <w:pPr>
              <w:pStyle w:val="TableParagraph"/>
              <w:ind w:left="66" w:right="57"/>
              <w:jc w:val="both"/>
              <w:rPr>
                <w:sz w:val="20"/>
              </w:rPr>
            </w:pPr>
            <w:r>
              <w:rPr>
                <w:sz w:val="20"/>
              </w:rPr>
              <w:t>En virtud de lo anterior, el oferente debe considerar que cuando se incorpore el precio en la columna “Precio Unitario ofrecido incluye IVA” este ya </w:t>
            </w:r>
            <w:r>
              <w:rPr>
                <w:sz w:val="20"/>
                <w:shd w:fill="FFFF00" w:color="auto" w:val="clear"/>
              </w:rPr>
              <w:t>debe considerar el porcentaje del impuesto al valor agregado que se detalló en la columna denominada “Porcentaje de IVA a aplicar”; por lo tanto, el</w:t>
            </w:r>
            <w:r>
              <w:rPr>
                <w:sz w:val="20"/>
              </w:rPr>
              <w:t> </w:t>
            </w:r>
            <w:r>
              <w:rPr>
                <w:sz w:val="20"/>
                <w:shd w:fill="FFFF00" w:color="auto" w:val="clear"/>
              </w:rPr>
              <w:t>precio total que se debe incorporar en la columna</w:t>
            </w:r>
            <w:r>
              <w:rPr>
                <w:sz w:val="20"/>
              </w:rPr>
              <w:t> “</w:t>
            </w:r>
            <w:r>
              <w:rPr>
                <w:sz w:val="20"/>
                <w:shd w:fill="FFFF00" w:color="auto" w:val="clear"/>
              </w:rPr>
              <w:t>Precio Total Ofrecido Incluye IVA” debe corresponder al resultado de multiplicar la cantidad</w:t>
            </w:r>
            <w:r>
              <w:rPr>
                <w:sz w:val="20"/>
              </w:rPr>
              <w:t> </w:t>
            </w:r>
            <w:r>
              <w:rPr>
                <w:sz w:val="20"/>
                <w:shd w:fill="FFFF00" w:color="auto" w:val="clear"/>
              </w:rPr>
              <w:t>ofertada por el precio unitario incorporado en la columna “Precio Unitario ofrecido incluye</w:t>
            </w:r>
            <w:r>
              <w:rPr>
                <w:spacing w:val="-19"/>
                <w:sz w:val="20"/>
                <w:shd w:fill="FFFF00" w:color="auto" w:val="clear"/>
              </w:rPr>
              <w:t> </w:t>
            </w:r>
            <w:r>
              <w:rPr>
                <w:sz w:val="20"/>
                <w:shd w:fill="FFFF00" w:color="auto" w:val="clear"/>
              </w:rPr>
              <w:t>IVA”.</w:t>
            </w:r>
          </w:p>
          <w:p>
            <w:pPr>
              <w:pStyle w:val="TableParagraph"/>
              <w:spacing w:before="2"/>
              <w:rPr>
                <w:rFonts w:ascii="Times New Roman"/>
                <w:sz w:val="21"/>
              </w:rPr>
            </w:pPr>
          </w:p>
          <w:p>
            <w:pPr>
              <w:pStyle w:val="TableParagraph"/>
              <w:ind w:left="66" w:right="59"/>
              <w:jc w:val="both"/>
              <w:rPr>
                <w:sz w:val="20"/>
              </w:rPr>
            </w:pPr>
            <w:r>
              <w:rPr>
                <w:sz w:val="20"/>
                <w:shd w:fill="FFFF00" w:color="auto" w:val="clear"/>
              </w:rPr>
              <w:t>Si el oferente pertenece al régimen de tributación simplificada, de previo a completar el cuadro económico, debe dirigirse a la cláusula</w:t>
            </w:r>
            <w:r>
              <w:rPr>
                <w:sz w:val="20"/>
              </w:rPr>
              <w:t> </w:t>
            </w:r>
            <w:r>
              <w:rPr>
                <w:sz w:val="20"/>
                <w:shd w:fill="FFFF00" w:color="auto" w:val="clear"/>
              </w:rPr>
              <w:t>5.1.6 Régimen</w:t>
            </w:r>
            <w:r>
              <w:rPr>
                <w:sz w:val="20"/>
              </w:rPr>
              <w:t> </w:t>
            </w:r>
            <w:r>
              <w:rPr>
                <w:sz w:val="20"/>
                <w:shd w:fill="FFFF00" w:color="auto" w:val="clear"/>
              </w:rPr>
              <w:t>de Tributación Simplificada para que disponga de mayor información al respecto.</w:t>
            </w:r>
          </w:p>
          <w:p>
            <w:pPr>
              <w:pStyle w:val="TableParagraph"/>
              <w:rPr>
                <w:rFonts w:ascii="Times New Roman"/>
                <w:sz w:val="20"/>
              </w:rPr>
            </w:pPr>
          </w:p>
          <w:p>
            <w:pPr>
              <w:pStyle w:val="TableParagraph"/>
              <w:spacing w:before="5"/>
              <w:rPr>
                <w:rFonts w:ascii="Times New Roman"/>
                <w:sz w:val="22"/>
              </w:rPr>
            </w:pPr>
          </w:p>
          <w:p>
            <w:pPr>
              <w:pStyle w:val="TableParagraph"/>
              <w:ind w:left="66" w:right="55"/>
              <w:jc w:val="both"/>
              <w:rPr>
                <w:sz w:val="20"/>
              </w:rPr>
            </w:pPr>
            <w:r>
              <w:rPr>
                <w:spacing w:val="-4"/>
                <w:sz w:val="20"/>
              </w:rPr>
              <w:t>Para </w:t>
            </w:r>
            <w:r>
              <w:rPr>
                <w:sz w:val="20"/>
              </w:rPr>
              <w:t>el caso </w:t>
            </w:r>
            <w:r>
              <w:rPr>
                <w:spacing w:val="-3"/>
                <w:sz w:val="20"/>
              </w:rPr>
              <w:t>de los </w:t>
            </w:r>
            <w:r>
              <w:rPr>
                <w:spacing w:val="-4"/>
                <w:sz w:val="20"/>
              </w:rPr>
              <w:t>productos genéricos, </w:t>
            </w:r>
            <w:r>
              <w:rPr>
                <w:sz w:val="20"/>
              </w:rPr>
              <w:t>se </w:t>
            </w:r>
            <w:r>
              <w:rPr>
                <w:spacing w:val="-3"/>
                <w:sz w:val="20"/>
              </w:rPr>
              <w:t>deberá </w:t>
            </w:r>
            <w:r>
              <w:rPr>
                <w:spacing w:val="-4"/>
                <w:sz w:val="20"/>
              </w:rPr>
              <w:t>entender </w:t>
            </w:r>
            <w:r>
              <w:rPr>
                <w:spacing w:val="-3"/>
                <w:sz w:val="20"/>
              </w:rPr>
              <w:t>por marca </w:t>
            </w:r>
            <w:r>
              <w:rPr>
                <w:spacing w:val="-4"/>
                <w:sz w:val="20"/>
              </w:rPr>
              <w:t>reconocida </w:t>
            </w:r>
            <w:r>
              <w:rPr>
                <w:spacing w:val="-3"/>
                <w:sz w:val="20"/>
              </w:rPr>
              <w:t>aquella cuyo prestigio sea reconocido </w:t>
            </w:r>
            <w:r>
              <w:rPr>
                <w:sz w:val="20"/>
              </w:rPr>
              <w:t>tanto a </w:t>
            </w:r>
            <w:r>
              <w:rPr>
                <w:spacing w:val="-3"/>
                <w:sz w:val="20"/>
              </w:rPr>
              <w:t>nivel </w:t>
            </w:r>
            <w:r>
              <w:rPr>
                <w:spacing w:val="-4"/>
                <w:sz w:val="20"/>
              </w:rPr>
              <w:t>nacional </w:t>
            </w:r>
            <w:r>
              <w:rPr>
                <w:spacing w:val="-3"/>
                <w:sz w:val="20"/>
              </w:rPr>
              <w:t>como </w:t>
            </w:r>
            <w:r>
              <w:rPr>
                <w:spacing w:val="-4"/>
                <w:sz w:val="20"/>
              </w:rPr>
              <w:t>internacional. </w:t>
            </w:r>
            <w:r>
              <w:rPr>
                <w:spacing w:val="-3"/>
                <w:sz w:val="20"/>
              </w:rPr>
              <w:t>Además para </w:t>
            </w:r>
            <w:r>
              <w:rPr>
                <w:sz w:val="20"/>
              </w:rPr>
              <w:t>su </w:t>
            </w:r>
            <w:r>
              <w:rPr>
                <w:spacing w:val="-3"/>
                <w:sz w:val="20"/>
              </w:rPr>
              <w:t>valoración </w:t>
            </w:r>
            <w:r>
              <w:rPr>
                <w:spacing w:val="-4"/>
                <w:sz w:val="20"/>
              </w:rPr>
              <w:t>objetiva </w:t>
            </w:r>
            <w:r>
              <w:rPr>
                <w:sz w:val="20"/>
              </w:rPr>
              <w:t>y </w:t>
            </w:r>
            <w:r>
              <w:rPr>
                <w:spacing w:val="-3"/>
                <w:sz w:val="20"/>
              </w:rPr>
              <w:t>para </w:t>
            </w:r>
            <w:r>
              <w:rPr>
                <w:spacing w:val="-4"/>
                <w:sz w:val="20"/>
              </w:rPr>
              <w:t>considerarse </w:t>
            </w:r>
            <w:r>
              <w:rPr>
                <w:spacing w:val="-3"/>
                <w:sz w:val="20"/>
              </w:rPr>
              <w:t>marca </w:t>
            </w:r>
            <w:r>
              <w:rPr>
                <w:spacing w:val="-4"/>
                <w:sz w:val="20"/>
              </w:rPr>
              <w:t>reconocida </w:t>
            </w:r>
            <w:r>
              <w:rPr>
                <w:spacing w:val="-3"/>
                <w:sz w:val="20"/>
              </w:rPr>
              <w:t>deberá cumplir con </w:t>
            </w:r>
            <w:r>
              <w:rPr>
                <w:sz w:val="20"/>
              </w:rPr>
              <w:t>tener </w:t>
            </w:r>
            <w:r>
              <w:rPr>
                <w:spacing w:val="-4"/>
                <w:sz w:val="20"/>
              </w:rPr>
              <w:t>una representación </w:t>
            </w:r>
            <w:r>
              <w:rPr>
                <w:sz w:val="20"/>
              </w:rPr>
              <w:t>y </w:t>
            </w:r>
            <w:r>
              <w:rPr>
                <w:spacing w:val="-4"/>
                <w:sz w:val="20"/>
              </w:rPr>
              <w:t>comercialización continua </w:t>
            </w:r>
            <w:r>
              <w:rPr>
                <w:sz w:val="20"/>
              </w:rPr>
              <w:t>en el </w:t>
            </w:r>
            <w:r>
              <w:rPr>
                <w:spacing w:val="-3"/>
                <w:sz w:val="20"/>
              </w:rPr>
              <w:t>país </w:t>
            </w:r>
            <w:r>
              <w:rPr>
                <w:sz w:val="20"/>
              </w:rPr>
              <w:t>no </w:t>
            </w:r>
            <w:r>
              <w:rPr>
                <w:spacing w:val="-3"/>
                <w:sz w:val="20"/>
              </w:rPr>
              <w:t>inferior </w:t>
            </w:r>
            <w:r>
              <w:rPr>
                <w:sz w:val="20"/>
              </w:rPr>
              <w:t>a </w:t>
            </w:r>
            <w:r>
              <w:rPr>
                <w:spacing w:val="-3"/>
                <w:sz w:val="20"/>
              </w:rPr>
              <w:t>diez años </w:t>
            </w:r>
            <w:r>
              <w:rPr>
                <w:spacing w:val="-4"/>
                <w:sz w:val="20"/>
              </w:rPr>
              <w:t>previos </w:t>
            </w:r>
            <w:r>
              <w:rPr>
                <w:sz w:val="20"/>
              </w:rPr>
              <w:t>a </w:t>
            </w:r>
            <w:r>
              <w:rPr>
                <w:spacing w:val="-3"/>
                <w:sz w:val="20"/>
              </w:rPr>
              <w:t>la </w:t>
            </w:r>
            <w:r>
              <w:rPr>
                <w:spacing w:val="-4"/>
                <w:sz w:val="20"/>
              </w:rPr>
              <w:t>fecha </w:t>
            </w:r>
            <w:r>
              <w:rPr>
                <w:sz w:val="20"/>
              </w:rPr>
              <w:t>de la </w:t>
            </w:r>
            <w:r>
              <w:rPr>
                <w:spacing w:val="-3"/>
                <w:sz w:val="20"/>
              </w:rPr>
              <w:t>apertura de </w:t>
            </w:r>
            <w:r>
              <w:rPr>
                <w:spacing w:val="-4"/>
                <w:sz w:val="20"/>
              </w:rPr>
              <w:t>ofertas, </w:t>
            </w:r>
            <w:r>
              <w:rPr>
                <w:sz w:val="20"/>
              </w:rPr>
              <w:t>esto </w:t>
            </w:r>
            <w:r>
              <w:rPr>
                <w:spacing w:val="-3"/>
                <w:sz w:val="20"/>
              </w:rPr>
              <w:t>deberá </w:t>
            </w:r>
            <w:r>
              <w:rPr>
                <w:sz w:val="20"/>
              </w:rPr>
              <w:t>ser </w:t>
            </w:r>
            <w:r>
              <w:rPr>
                <w:spacing w:val="-4"/>
                <w:sz w:val="20"/>
              </w:rPr>
              <w:t>demostrable </w:t>
            </w:r>
            <w:r>
              <w:rPr>
                <w:sz w:val="20"/>
              </w:rPr>
              <w:t>a </w:t>
            </w:r>
            <w:r>
              <w:rPr>
                <w:spacing w:val="-3"/>
                <w:sz w:val="20"/>
              </w:rPr>
              <w:t>través de una certificación </w:t>
            </w:r>
            <w:r>
              <w:rPr>
                <w:spacing w:val="-4"/>
                <w:sz w:val="20"/>
              </w:rPr>
              <w:t>emitida </w:t>
            </w:r>
            <w:r>
              <w:rPr>
                <w:spacing w:val="-3"/>
                <w:sz w:val="20"/>
              </w:rPr>
              <w:t>por </w:t>
            </w:r>
            <w:r>
              <w:rPr>
                <w:sz w:val="20"/>
                <w:shd w:fill="FFFF00" w:color="auto" w:val="clear"/>
              </w:rPr>
              <w:t>el </w:t>
            </w:r>
            <w:r>
              <w:rPr>
                <w:spacing w:val="-4"/>
                <w:sz w:val="20"/>
                <w:shd w:fill="FFFF00" w:color="auto" w:val="clear"/>
              </w:rPr>
              <w:t>fabricante </w:t>
            </w:r>
            <w:r>
              <w:rPr>
                <w:spacing w:val="-3"/>
                <w:sz w:val="20"/>
                <w:shd w:fill="FFFF00" w:color="auto" w:val="clear"/>
              </w:rPr>
              <w:t>de </w:t>
            </w:r>
            <w:r>
              <w:rPr>
                <w:spacing w:val="-4"/>
                <w:sz w:val="20"/>
                <w:shd w:fill="FFFF00" w:color="auto" w:val="clear"/>
              </w:rPr>
              <w:t>los productos ofertados.</w:t>
            </w:r>
          </w:p>
        </w:tc>
      </w:tr>
    </w:tbl>
    <w:p>
      <w:pPr>
        <w:pStyle w:val="BodyText"/>
        <w:rPr>
          <w:rFonts w:ascii="Times New Roman"/>
        </w:rPr>
      </w:pPr>
    </w:p>
    <w:p>
      <w:pPr>
        <w:spacing w:after="0"/>
        <w:rPr>
          <w:rFonts w:ascii="Times New Roman"/>
        </w:rPr>
        <w:sectPr>
          <w:headerReference w:type="default" r:id="rId13"/>
          <w:pgSz w:w="15840" w:h="12240" w:orient="landscape"/>
          <w:pgMar w:header="0" w:footer="0" w:top="40" w:bottom="0" w:left="0" w:right="480"/>
        </w:sectPr>
      </w:pPr>
    </w:p>
    <w:p>
      <w:pPr>
        <w:spacing w:line="235" w:lineRule="auto" w:before="308"/>
        <w:ind w:left="421" w:right="-10" w:firstLine="0"/>
        <w:jc w:val="left"/>
        <w:rPr>
          <w:sz w:val="66"/>
        </w:rPr>
      </w:pPr>
      <w:r>
        <w:rPr/>
        <w:pict>
          <v:shape style="position:absolute;margin-left:102.800003pt;margin-top:420.799988pt;width:617pt;height:36.6pt;mso-position-horizontal-relative:page;mso-position-vertical-relative:page;z-index:-252417024" coordorigin="2056,8416" coordsize="12340,732" path="m14396,8904l2056,8904,2056,9148,14396,9148,14396,8904m14396,8416l2056,8416,2056,8660,2056,8904,14396,8904,14396,8660,14396,8416e" filled="true" fillcolor="#ffff00" stroked="false">
            <v:path arrowok="t"/>
            <v:fill type="solid"/>
            <w10:wrap type="none"/>
          </v:shape>
        </w:pict>
      </w:r>
      <w:r>
        <w:rPr>
          <w:w w:val="105"/>
          <w:sz w:val="66"/>
        </w:rPr>
        <w:t>ADRIAN</w:t>
      </w:r>
      <w:r>
        <w:rPr>
          <w:spacing w:val="-88"/>
          <w:w w:val="105"/>
          <w:sz w:val="66"/>
        </w:rPr>
        <w:t> </w:t>
      </w:r>
      <w:r>
        <w:rPr>
          <w:spacing w:val="-3"/>
          <w:w w:val="105"/>
          <w:sz w:val="66"/>
        </w:rPr>
        <w:t>ALBERTO </w:t>
      </w:r>
      <w:r>
        <w:rPr>
          <w:w w:val="105"/>
          <w:sz w:val="66"/>
        </w:rPr>
        <w:t>ALFARO RUIZ</w:t>
      </w:r>
    </w:p>
    <w:p>
      <w:pPr>
        <w:pStyle w:val="Heading1"/>
        <w:spacing w:line="235" w:lineRule="auto" w:before="249"/>
        <w:ind w:right="34"/>
      </w:pPr>
      <w:r>
        <w:rPr/>
        <w:br w:type="column"/>
      </w:r>
      <w:r>
        <w:rPr>
          <w:w w:val="105"/>
        </w:rPr>
        <w:t>Firmado digitalmente por ADRIAN</w:t>
      </w:r>
      <w:r>
        <w:rPr>
          <w:spacing w:val="-27"/>
          <w:w w:val="105"/>
        </w:rPr>
        <w:t> </w:t>
      </w:r>
      <w:r>
        <w:rPr>
          <w:w w:val="105"/>
        </w:rPr>
        <w:t>ALBERTO</w:t>
      </w:r>
      <w:r>
        <w:rPr>
          <w:spacing w:val="-26"/>
          <w:w w:val="105"/>
        </w:rPr>
        <w:t> </w:t>
      </w:r>
      <w:r>
        <w:rPr>
          <w:w w:val="105"/>
        </w:rPr>
        <w:t>ALFARO</w:t>
      </w:r>
      <w:r>
        <w:rPr>
          <w:spacing w:val="-26"/>
          <w:w w:val="105"/>
        </w:rPr>
        <w:t> </w:t>
      </w:r>
      <w:r>
        <w:rPr>
          <w:spacing w:val="-4"/>
          <w:w w:val="105"/>
        </w:rPr>
        <w:t>RUIZ </w:t>
      </w:r>
      <w:r>
        <w:rPr>
          <w:w w:val="105"/>
        </w:rPr>
        <w:t>Fecha: 2020.05.12</w:t>
      </w:r>
      <w:r>
        <w:rPr>
          <w:spacing w:val="-60"/>
          <w:w w:val="105"/>
        </w:rPr>
        <w:t> </w:t>
      </w:r>
      <w:r>
        <w:rPr>
          <w:w w:val="105"/>
        </w:rPr>
        <w:t>13:05:38</w:t>
      </w:r>
    </w:p>
    <w:p>
      <w:pPr>
        <w:spacing w:line="435" w:lineRule="exact" w:before="0"/>
        <w:ind w:left="91" w:right="0" w:firstLine="0"/>
        <w:jc w:val="left"/>
        <w:rPr>
          <w:sz w:val="36"/>
        </w:rPr>
      </w:pPr>
      <w:r>
        <w:rPr/>
        <w:pict>
          <v:shape style="position:absolute;margin-left:219.271179pt;margin-top:-66.724068pt;width:94.2pt;height:93.5pt;mso-position-horizontal-relative:page;mso-position-vertical-relative:paragraph;z-index:-252416000" coordorigin="4385,-1334" coordsize="1884,1870" path="m4725,140l4623,201,4543,262,4481,321,4436,377,4407,428,4390,471,4385,505,4397,529,4408,535,4537,535,4537,535,4542,532,4422,532,4425,496,4445,449,4478,393,4525,332,4582,267,4650,203,4725,140xm5191,-1334l5153,-1309,5134,-1251,5127,-1186,5126,-1139,5127,-1097,5131,-1051,5137,-1003,5145,-953,5154,-903,5165,-851,5177,-798,5191,-746,5188,-724,5178,-689,5162,-642,5142,-585,5116,-519,5086,-446,5052,-368,5014,-285,4973,-199,4930,-111,4885,-24,4838,62,4790,145,4741,224,4693,297,4644,362,4596,419,4550,466,4505,502,4462,524,4422,532,4542,532,4578,508,4622,468,4671,415,4724,349,4781,269,4843,174,4909,64,4926,58,4909,58,4970,-49,5022,-146,5066,-234,5104,-312,5136,-383,5162,-446,5183,-502,5200,-553,5214,-599,5225,-640,5292,-640,5278,-673,5250,-751,5263,-840,5264,-849,5225,-849,5203,-933,5188,-1015,5180,-1091,5177,-1160,5178,-1189,5183,-1238,5194,-1289,5218,-1323,5264,-1323,5240,-1333,5191,-1334xm6221,54l6203,57,6188,67,6178,82,6175,100,6178,117,6188,131,6203,141,6221,144,6240,141,6250,135,6221,135,6207,132,6195,124,6187,114,6184,100,6187,85,6195,74,6207,66,6221,64,6250,64,6240,57,6221,54xm6250,64l6221,64,6236,66,6248,74,6255,85,6257,100,6255,114,6248,124,6236,132,6221,135,6250,135,6256,131,6265,117,6269,100,6265,82,6256,67,6250,64xm6234,69l6203,69,6203,125,6213,125,6213,104,6237,104,6236,102,6230,100,6242,96,6213,96,6213,81,6241,81,6240,77,6234,69xm6237,104l6225,104,6228,110,6230,115,6232,125,6242,125,6240,115,6240,108,6237,104xm6241,81l6226,81,6230,83,6230,94,6225,96,6242,96,6242,89,6241,81xm5292,-640l5225,-640,5276,-527,5329,-432,5383,-354,5436,-291,5488,-240,5537,-201,5581,-171,5619,-147,5543,-134,5466,-117,5387,-99,5307,-79,5226,-56,5146,-31,5066,-4,4987,26,4909,58,4926,58,4978,41,5051,19,5127,-1,5205,-20,5285,-37,5366,-53,5447,-67,5529,-80,5610,-90,5690,-99,5833,-99,5803,-113,5872,-117,5954,-119,6230,-119,6211,-133,6143,-156,6112,-161,5718,-161,5674,-186,5630,-214,5587,-242,5546,-272,5490,-325,5438,-384,5391,-450,5349,-521,5311,-596,5292,-640xm5833,-99l5690,-99,5773,-60,5857,-27,5940,0,6018,20,6089,33,6150,37,6189,34,6219,26,6239,12,6242,6,6190,6,6131,0,6059,-15,5979,-40,5892,-73,5833,-99xm6250,-7l6238,-3,6224,1,6208,5,6190,6,6242,6,6250,-7xm6230,-119l5954,-119,6041,-117,6124,-110,6194,-94,6241,-67,6257,-28,6263,-42,6269,-48,6269,-61,6254,-102,6230,-119xm5948,-174l5897,-173,5841,-170,5718,-161,6112,-161,6055,-170,5948,-174xm5283,-1177l5273,-1121,5261,-1048,5245,-958,5225,-849,5264,-849,5272,-925,5277,-1009,5280,-1097,5283,-1177xm5264,-1323l5218,-1323,5238,-1310,5258,-1289,5274,-1257,5283,-1212,5290,-1283,5274,-1319,5264,-1323xe" filled="true" fillcolor="#ffd8d8" stroked="false">
            <v:path arrowok="t"/>
            <v:fill type="solid"/>
            <w10:wrap type="none"/>
          </v:shape>
        </w:pict>
      </w:r>
      <w:r>
        <w:rPr>
          <w:sz w:val="36"/>
        </w:rPr>
        <w:t>-06'00'</w:t>
      </w:r>
    </w:p>
    <w:p>
      <w:pPr>
        <w:pStyle w:val="BodyText"/>
      </w:pPr>
      <w:r>
        <w:rPr/>
        <w:br w:type="column"/>
      </w:r>
      <w:r>
        <w:rPr/>
      </w:r>
    </w:p>
    <w:p>
      <w:pPr>
        <w:pStyle w:val="BodyText"/>
      </w:pPr>
    </w:p>
    <w:p>
      <w:pPr>
        <w:pStyle w:val="BodyText"/>
      </w:pPr>
    </w:p>
    <w:p>
      <w:pPr>
        <w:pStyle w:val="BodyText"/>
      </w:pPr>
    </w:p>
    <w:p>
      <w:pPr>
        <w:spacing w:before="179"/>
        <w:ind w:left="421" w:right="0" w:firstLine="0"/>
        <w:jc w:val="left"/>
        <w:rPr>
          <w:b/>
          <w:sz w:val="20"/>
        </w:rPr>
      </w:pPr>
      <w:r>
        <w:rPr>
          <w:color w:val="16365D"/>
          <w:sz w:val="20"/>
        </w:rPr>
        <w:t>Página </w:t>
      </w:r>
      <w:r>
        <w:rPr>
          <w:b/>
          <w:color w:val="16365D"/>
          <w:sz w:val="20"/>
        </w:rPr>
        <w:t>4 </w:t>
      </w:r>
      <w:r>
        <w:rPr>
          <w:color w:val="16365D"/>
          <w:sz w:val="20"/>
        </w:rPr>
        <w:t>de </w:t>
      </w:r>
      <w:r>
        <w:rPr>
          <w:b/>
          <w:color w:val="16365D"/>
          <w:sz w:val="20"/>
        </w:rPr>
        <w:t>9</w:t>
      </w:r>
    </w:p>
    <w:p>
      <w:pPr>
        <w:spacing w:after="0"/>
        <w:jc w:val="left"/>
        <w:rPr>
          <w:sz w:val="20"/>
        </w:rPr>
        <w:sectPr>
          <w:type w:val="continuous"/>
          <w:pgSz w:w="15840" w:h="12240" w:orient="landscape"/>
          <w:pgMar w:top="1120" w:bottom="0" w:left="0" w:right="480"/>
          <w:cols w:num="3" w:equalWidth="0">
            <w:col w:w="5286" w:space="40"/>
            <w:col w:w="4874" w:space="3374"/>
            <w:col w:w="1786"/>
          </w:cols>
        </w:sectPr>
      </w:pPr>
    </w:p>
    <w:p>
      <w:pPr>
        <w:pStyle w:val="Heading2"/>
        <w:spacing w:before="90"/>
        <w:ind w:left="4157" w:right="4319"/>
      </w:pPr>
      <w:r>
        <w:rPr>
          <w:u w:val="single"/>
        </w:rPr>
        <w:t>Anexo de Especificaciones técnicas</w:t>
      </w:r>
    </w:p>
    <w:p>
      <w:pPr>
        <w:pStyle w:val="BodyText"/>
        <w:rPr>
          <w:b/>
        </w:rPr>
      </w:pPr>
    </w:p>
    <w:p>
      <w:pPr>
        <w:pStyle w:val="BodyText"/>
        <w:spacing w:before="2"/>
        <w:rPr>
          <w:b/>
          <w:sz w:val="17"/>
        </w:rPr>
      </w:pPr>
    </w:p>
    <w:p>
      <w:pPr>
        <w:pStyle w:val="BodyText"/>
        <w:spacing w:before="60"/>
        <w:ind w:left="592"/>
      </w:pPr>
      <w:r>
        <w:rPr/>
        <w:t>Cascos de Kevlar</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Casco balístico nivel balístico</w:t>
      </w:r>
      <w:r>
        <w:rPr>
          <w:spacing w:val="-6"/>
          <w:sz w:val="20"/>
        </w:rPr>
        <w:t> </w:t>
      </w:r>
      <w:r>
        <w:rPr>
          <w:sz w:val="20"/>
        </w:rPr>
        <w:t>III-A</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Según norma internacional NIJ 0106.01 o</w:t>
      </w:r>
      <w:r>
        <w:rPr>
          <w:spacing w:val="-5"/>
          <w:sz w:val="20"/>
        </w:rPr>
        <w:t> </w:t>
      </w:r>
      <w:r>
        <w:rPr>
          <w:sz w:val="20"/>
        </w:rPr>
        <w:t>equivalencia.</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Protección lateral de orejas a media</w:t>
      </w:r>
      <w:r>
        <w:rPr>
          <w:spacing w:val="-9"/>
          <w:sz w:val="20"/>
        </w:rPr>
        <w:t> </w:t>
      </w:r>
      <w:r>
        <w:rPr>
          <w:sz w:val="20"/>
        </w:rPr>
        <w:t>altura.</w:t>
      </w:r>
    </w:p>
    <w:p>
      <w:pPr>
        <w:pStyle w:val="ListParagraph"/>
        <w:numPr>
          <w:ilvl w:val="1"/>
          <w:numId w:val="1"/>
        </w:numPr>
        <w:tabs>
          <w:tab w:pos="1027" w:val="left" w:leader="none"/>
          <w:tab w:pos="1028" w:val="left" w:leader="none"/>
        </w:tabs>
        <w:spacing w:line="256" w:lineRule="auto" w:before="25" w:after="0"/>
        <w:ind w:left="1016" w:right="757" w:hanging="424"/>
        <w:jc w:val="left"/>
        <w:rPr>
          <w:sz w:val="20"/>
        </w:rPr>
      </w:pPr>
      <w:r>
        <w:rPr>
          <w:sz w:val="20"/>
        </w:rPr>
        <w:t>Con suspensión por parches internos de espuma ó gel para amortiguar golpes y retención del casco ó por sistema de suspensión</w:t>
      </w:r>
      <w:r>
        <w:rPr>
          <w:spacing w:val="-4"/>
          <w:sz w:val="20"/>
        </w:rPr>
        <w:t> </w:t>
      </w:r>
      <w:r>
        <w:rPr>
          <w:sz w:val="20"/>
        </w:rPr>
        <w:t>del</w:t>
      </w:r>
      <w:r>
        <w:rPr>
          <w:spacing w:val="-1"/>
          <w:sz w:val="20"/>
        </w:rPr>
        <w:t> </w:t>
      </w:r>
      <w:r>
        <w:rPr>
          <w:sz w:val="20"/>
        </w:rPr>
        <w:t>casco</w:t>
      </w:r>
      <w:r>
        <w:rPr>
          <w:spacing w:val="-3"/>
          <w:sz w:val="20"/>
        </w:rPr>
        <w:t> </w:t>
      </w:r>
      <w:r>
        <w:rPr>
          <w:sz w:val="20"/>
        </w:rPr>
        <w:t>por corona</w:t>
      </w:r>
      <w:r>
        <w:rPr>
          <w:spacing w:val="-3"/>
          <w:sz w:val="20"/>
        </w:rPr>
        <w:t> </w:t>
      </w:r>
      <w:r>
        <w:rPr>
          <w:sz w:val="20"/>
        </w:rPr>
        <w:t>esponjada</w:t>
      </w:r>
      <w:r>
        <w:rPr>
          <w:spacing w:val="-3"/>
          <w:sz w:val="20"/>
        </w:rPr>
        <w:t> </w:t>
      </w:r>
      <w:r>
        <w:rPr>
          <w:sz w:val="20"/>
        </w:rPr>
        <w:t>con</w:t>
      </w:r>
      <w:r>
        <w:rPr>
          <w:spacing w:val="-3"/>
          <w:sz w:val="20"/>
        </w:rPr>
        <w:t> </w:t>
      </w:r>
      <w:r>
        <w:rPr>
          <w:sz w:val="20"/>
        </w:rPr>
        <w:t>ajuste</w:t>
      </w:r>
      <w:r>
        <w:rPr>
          <w:spacing w:val="-2"/>
          <w:sz w:val="20"/>
        </w:rPr>
        <w:t> </w:t>
      </w:r>
      <w:r>
        <w:rPr>
          <w:sz w:val="20"/>
        </w:rPr>
        <w:t>por</w:t>
      </w:r>
      <w:r>
        <w:rPr>
          <w:spacing w:val="-4"/>
          <w:sz w:val="20"/>
        </w:rPr>
        <w:t> </w:t>
      </w:r>
      <w:r>
        <w:rPr>
          <w:sz w:val="20"/>
        </w:rPr>
        <w:t>tornillo</w:t>
      </w:r>
      <w:r>
        <w:rPr>
          <w:spacing w:val="-3"/>
          <w:sz w:val="20"/>
        </w:rPr>
        <w:t> </w:t>
      </w:r>
      <w:r>
        <w:rPr>
          <w:sz w:val="20"/>
        </w:rPr>
        <w:t>sin fin,</w:t>
      </w:r>
      <w:r>
        <w:rPr>
          <w:spacing w:val="-1"/>
          <w:sz w:val="20"/>
        </w:rPr>
        <w:t> </w:t>
      </w:r>
      <w:r>
        <w:rPr>
          <w:sz w:val="20"/>
        </w:rPr>
        <w:t>para</w:t>
      </w:r>
      <w:r>
        <w:rPr>
          <w:spacing w:val="-2"/>
          <w:sz w:val="20"/>
        </w:rPr>
        <w:t> </w:t>
      </w:r>
      <w:r>
        <w:rPr>
          <w:sz w:val="20"/>
        </w:rPr>
        <w:t>adaptar</w:t>
      </w:r>
      <w:r>
        <w:rPr>
          <w:spacing w:val="-4"/>
          <w:sz w:val="20"/>
        </w:rPr>
        <w:t> </w:t>
      </w:r>
      <w:r>
        <w:rPr>
          <w:sz w:val="20"/>
        </w:rPr>
        <w:t>a</w:t>
      </w:r>
      <w:r>
        <w:rPr>
          <w:spacing w:val="2"/>
          <w:sz w:val="20"/>
        </w:rPr>
        <w:t> </w:t>
      </w:r>
      <w:r>
        <w:rPr>
          <w:sz w:val="20"/>
        </w:rPr>
        <w:t>cualquier</w:t>
      </w:r>
      <w:r>
        <w:rPr>
          <w:spacing w:val="-3"/>
          <w:sz w:val="20"/>
        </w:rPr>
        <w:t> </w:t>
      </w:r>
      <w:r>
        <w:rPr>
          <w:sz w:val="20"/>
        </w:rPr>
        <w:t>tamaño</w:t>
      </w:r>
      <w:r>
        <w:rPr>
          <w:spacing w:val="-4"/>
          <w:sz w:val="20"/>
        </w:rPr>
        <w:t> </w:t>
      </w:r>
      <w:r>
        <w:rPr>
          <w:sz w:val="20"/>
        </w:rPr>
        <w:t>de</w:t>
      </w:r>
      <w:r>
        <w:rPr>
          <w:spacing w:val="-2"/>
          <w:sz w:val="20"/>
        </w:rPr>
        <w:t> </w:t>
      </w:r>
      <w:r>
        <w:rPr>
          <w:sz w:val="20"/>
        </w:rPr>
        <w:t>cabeza.</w:t>
      </w:r>
    </w:p>
    <w:p>
      <w:pPr>
        <w:pStyle w:val="ListParagraph"/>
        <w:numPr>
          <w:ilvl w:val="1"/>
          <w:numId w:val="1"/>
        </w:numPr>
        <w:tabs>
          <w:tab w:pos="1027" w:val="left" w:leader="none"/>
          <w:tab w:pos="1028" w:val="left" w:leader="none"/>
        </w:tabs>
        <w:spacing w:line="240" w:lineRule="auto" w:before="11" w:after="0"/>
        <w:ind w:left="1028" w:right="0" w:hanging="437"/>
        <w:jc w:val="left"/>
        <w:rPr>
          <w:sz w:val="20"/>
        </w:rPr>
      </w:pPr>
      <w:r>
        <w:rPr>
          <w:sz w:val="20"/>
        </w:rPr>
        <w:t>Fajas de ajuste en 4</w:t>
      </w:r>
      <w:r>
        <w:rPr>
          <w:spacing w:val="-9"/>
          <w:sz w:val="20"/>
        </w:rPr>
        <w:t> </w:t>
      </w:r>
      <w:r>
        <w:rPr>
          <w:sz w:val="20"/>
        </w:rPr>
        <w:t>puntos.</w:t>
      </w:r>
    </w:p>
    <w:p>
      <w:pPr>
        <w:pStyle w:val="ListParagraph"/>
        <w:numPr>
          <w:ilvl w:val="1"/>
          <w:numId w:val="1"/>
        </w:numPr>
        <w:tabs>
          <w:tab w:pos="1027" w:val="left" w:leader="none"/>
          <w:tab w:pos="1028" w:val="left" w:leader="none"/>
        </w:tabs>
        <w:spacing w:line="240" w:lineRule="auto" w:before="21" w:after="0"/>
        <w:ind w:left="1028" w:right="0" w:hanging="437"/>
        <w:jc w:val="left"/>
        <w:rPr>
          <w:sz w:val="20"/>
        </w:rPr>
      </w:pPr>
      <w:r>
        <w:rPr>
          <w:sz w:val="20"/>
        </w:rPr>
        <w:t>Soporte de barbilla</w:t>
      </w:r>
      <w:r>
        <w:rPr>
          <w:spacing w:val="-1"/>
          <w:sz w:val="20"/>
        </w:rPr>
        <w:t> </w:t>
      </w:r>
      <w:r>
        <w:rPr>
          <w:sz w:val="20"/>
        </w:rPr>
        <w:t>acolchado.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Bucle de retención</w:t>
      </w:r>
      <w:r>
        <w:rPr>
          <w:spacing w:val="-2"/>
          <w:sz w:val="20"/>
        </w:rPr>
        <w:t> </w:t>
      </w:r>
      <w:r>
        <w:rPr>
          <w:sz w:val="20"/>
        </w:rPr>
        <w:t>ajustable.</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Con rieles laterales integrados para montar</w:t>
      </w:r>
      <w:r>
        <w:rPr>
          <w:spacing w:val="-8"/>
          <w:sz w:val="20"/>
        </w:rPr>
        <w:t> </w:t>
      </w:r>
      <w:r>
        <w:rPr>
          <w:sz w:val="20"/>
        </w:rPr>
        <w:t>accesorios.</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Hecho de material balístico liviano.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Color negro</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Similar o superior a marca US Armor modelo</w:t>
      </w:r>
      <w:r>
        <w:rPr>
          <w:spacing w:val="-10"/>
          <w:sz w:val="20"/>
        </w:rPr>
        <w:t> </w:t>
      </w:r>
      <w:r>
        <w:rPr>
          <w:sz w:val="20"/>
        </w:rPr>
        <w:t>ACH/MICH</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Aportar certificado de nivel balístico</w:t>
      </w:r>
    </w:p>
    <w:p>
      <w:pPr>
        <w:pStyle w:val="ListParagraph"/>
        <w:numPr>
          <w:ilvl w:val="1"/>
          <w:numId w:val="1"/>
        </w:numPr>
        <w:tabs>
          <w:tab w:pos="1027" w:val="left" w:leader="none"/>
          <w:tab w:pos="1028" w:val="left" w:leader="none"/>
        </w:tabs>
        <w:spacing w:line="240" w:lineRule="auto" w:before="21" w:after="0"/>
        <w:ind w:left="1028" w:right="0" w:hanging="437"/>
        <w:jc w:val="left"/>
        <w:rPr>
          <w:sz w:val="20"/>
        </w:rPr>
      </w:pPr>
      <w:r>
        <w:rPr>
          <w:sz w:val="20"/>
        </w:rPr>
        <w:t>Aportar certificado de distribuidor oficial de la</w:t>
      </w:r>
      <w:r>
        <w:rPr>
          <w:spacing w:val="-2"/>
          <w:sz w:val="20"/>
        </w:rPr>
        <w:t> </w:t>
      </w:r>
      <w:r>
        <w:rPr>
          <w:sz w:val="20"/>
        </w:rPr>
        <w:t>marca.</w:t>
      </w:r>
    </w:p>
    <w:p>
      <w:pPr>
        <w:pStyle w:val="BodyText"/>
        <w:spacing w:before="25"/>
        <w:ind w:left="592"/>
        <w:rPr>
          <w:rFonts w:ascii="Symbol" w:hAnsi="Symbol"/>
        </w:rPr>
      </w:pPr>
      <w:r>
        <w:rPr>
          <w:rFonts w:ascii="Symbol" w:hAnsi="Symbol"/>
        </w:rPr>
        <w:t></w:t>
      </w:r>
    </w:p>
    <w:p>
      <w:pPr>
        <w:pStyle w:val="ListParagraph"/>
        <w:numPr>
          <w:ilvl w:val="1"/>
          <w:numId w:val="1"/>
        </w:numPr>
        <w:tabs>
          <w:tab w:pos="1027" w:val="left" w:leader="none"/>
          <w:tab w:pos="1028" w:val="left" w:leader="none"/>
        </w:tabs>
        <w:spacing w:line="240" w:lineRule="auto" w:before="35" w:after="0"/>
        <w:ind w:left="1028" w:right="0" w:hanging="436"/>
        <w:jc w:val="left"/>
        <w:rPr>
          <w:sz w:val="20"/>
        </w:rPr>
      </w:pPr>
      <w:r>
        <w:rPr>
          <w:sz w:val="20"/>
        </w:rPr>
        <w:t>Plazo de entrega: 60 días</w:t>
      </w:r>
      <w:r>
        <w:rPr>
          <w:spacing w:val="-3"/>
          <w:sz w:val="20"/>
        </w:rPr>
        <w:t> </w:t>
      </w:r>
      <w:r>
        <w:rPr>
          <w:sz w:val="20"/>
        </w:rPr>
        <w:t>hábiles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Garantía mínima: 36</w:t>
      </w:r>
      <w:r>
        <w:rPr>
          <w:spacing w:val="-5"/>
          <w:sz w:val="20"/>
        </w:rPr>
        <w:t> </w:t>
      </w:r>
      <w:r>
        <w:rPr>
          <w:sz w:val="20"/>
        </w:rPr>
        <w:t>meses</w:t>
      </w:r>
    </w:p>
    <w:p>
      <w:pPr>
        <w:pStyle w:val="BodyText"/>
        <w:rPr>
          <w:sz w:val="28"/>
        </w:rPr>
      </w:pPr>
    </w:p>
    <w:p>
      <w:pPr>
        <w:pStyle w:val="BodyText"/>
        <w:spacing w:before="3"/>
        <w:rPr>
          <w:sz w:val="33"/>
        </w:rPr>
      </w:pPr>
    </w:p>
    <w:p>
      <w:pPr>
        <w:pStyle w:val="Heading4"/>
        <w:ind w:left="592"/>
      </w:pPr>
      <w:r>
        <w:rPr/>
        <w:t>Escudo balístico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Nivel NIJ 0108.01 Tipo</w:t>
      </w:r>
      <w:r>
        <w:rPr>
          <w:spacing w:val="-11"/>
          <w:sz w:val="20"/>
        </w:rPr>
        <w:t> </w:t>
      </w:r>
      <w:r>
        <w:rPr>
          <w:sz w:val="20"/>
        </w:rPr>
        <w:t>IIIA</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Fabricado en polímero de alto</w:t>
      </w:r>
      <w:r>
        <w:rPr>
          <w:spacing w:val="-2"/>
          <w:sz w:val="20"/>
        </w:rPr>
        <w:t> </w:t>
      </w:r>
      <w:r>
        <w:rPr>
          <w:sz w:val="20"/>
        </w:rPr>
        <w:t>rendimiento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Tamaño de 24” x</w:t>
      </w:r>
      <w:r>
        <w:rPr>
          <w:spacing w:val="2"/>
          <w:sz w:val="20"/>
        </w:rPr>
        <w:t> </w:t>
      </w:r>
      <w:r>
        <w:rPr>
          <w:spacing w:val="-2"/>
          <w:sz w:val="20"/>
        </w:rPr>
        <w:t>36”</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Material protector ligero con características anti-astillamiento y resistencia</w:t>
      </w:r>
      <w:r>
        <w:rPr>
          <w:spacing w:val="-8"/>
          <w:sz w:val="20"/>
        </w:rPr>
        <w:t> </w:t>
      </w:r>
      <w:r>
        <w:rPr>
          <w:sz w:val="20"/>
        </w:rPr>
        <w:t>química.</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Mirilla de vidrio balístico laminado Nivel IIIA, tamaño de vista balística: 7” x</w:t>
      </w:r>
      <w:r>
        <w:rPr>
          <w:spacing w:val="-9"/>
          <w:sz w:val="20"/>
        </w:rPr>
        <w:t> </w:t>
      </w:r>
      <w:r>
        <w:rPr>
          <w:sz w:val="20"/>
        </w:rPr>
        <w:t>10”</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Con recorte para armas</w:t>
      </w:r>
      <w:r>
        <w:rPr>
          <w:spacing w:val="-2"/>
          <w:sz w:val="20"/>
        </w:rPr>
        <w:t> </w:t>
      </w:r>
      <w:r>
        <w:rPr>
          <w:sz w:val="20"/>
        </w:rPr>
        <w:t>largas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Curvatura de</w:t>
      </w:r>
      <w:r>
        <w:rPr>
          <w:spacing w:val="-4"/>
          <w:sz w:val="20"/>
        </w:rPr>
        <w:t> </w:t>
      </w:r>
      <w:r>
        <w:rPr>
          <w:sz w:val="20"/>
        </w:rPr>
        <w:t>18°</w:t>
      </w:r>
    </w:p>
    <w:p>
      <w:pPr>
        <w:pStyle w:val="ListParagraph"/>
        <w:numPr>
          <w:ilvl w:val="1"/>
          <w:numId w:val="1"/>
        </w:numPr>
        <w:tabs>
          <w:tab w:pos="1027" w:val="left" w:leader="none"/>
          <w:tab w:pos="1028" w:val="left" w:leader="none"/>
        </w:tabs>
        <w:spacing w:line="240" w:lineRule="auto" w:before="21" w:after="0"/>
        <w:ind w:left="1028" w:right="0" w:hanging="436"/>
        <w:jc w:val="left"/>
        <w:rPr>
          <w:sz w:val="20"/>
        </w:rPr>
      </w:pPr>
      <w:r>
        <w:rPr>
          <w:sz w:val="20"/>
        </w:rPr>
        <w:t>Asa horizontal o de tres posiciones,</w:t>
      </w:r>
      <w:r>
        <w:rPr>
          <w:spacing w:val="-11"/>
          <w:sz w:val="20"/>
        </w:rPr>
        <w:t> </w:t>
      </w:r>
      <w:r>
        <w:rPr>
          <w:sz w:val="20"/>
        </w:rPr>
        <w:t>ambidiestro.</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Almohadilla del</w:t>
      </w:r>
      <w:r>
        <w:rPr>
          <w:spacing w:val="-7"/>
          <w:sz w:val="20"/>
        </w:rPr>
        <w:t> </w:t>
      </w:r>
      <w:r>
        <w:rPr>
          <w:sz w:val="20"/>
        </w:rPr>
        <w:t>antebrazo</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Barras de rastrillo</w:t>
      </w:r>
      <w:r>
        <w:rPr>
          <w:spacing w:val="3"/>
          <w:sz w:val="20"/>
        </w:rPr>
        <w:t> </w:t>
      </w:r>
      <w:r>
        <w:rPr>
          <w:sz w:val="20"/>
        </w:rPr>
        <w:t>dobles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Peso máximo 13</w:t>
      </w:r>
      <w:r>
        <w:rPr>
          <w:spacing w:val="-6"/>
          <w:sz w:val="20"/>
        </w:rPr>
        <w:t> </w:t>
      </w:r>
      <w:r>
        <w:rPr>
          <w:sz w:val="20"/>
        </w:rPr>
        <w:t>lbs.</w:t>
      </w:r>
    </w:p>
    <w:p>
      <w:pPr>
        <w:pStyle w:val="Heading4"/>
        <w:numPr>
          <w:ilvl w:val="1"/>
          <w:numId w:val="1"/>
        </w:numPr>
        <w:tabs>
          <w:tab w:pos="1027" w:val="left" w:leader="none"/>
          <w:tab w:pos="1028" w:val="left" w:leader="none"/>
        </w:tabs>
        <w:spacing w:line="240" w:lineRule="auto" w:before="25" w:after="0"/>
        <w:ind w:left="1028" w:right="0" w:hanging="437"/>
        <w:jc w:val="left"/>
      </w:pPr>
      <w:r>
        <w:rPr/>
        <w:t>Probados</w:t>
      </w:r>
      <w:r>
        <w:rPr>
          <w:spacing w:val="-1"/>
        </w:rPr>
        <w:t> </w:t>
      </w:r>
      <w:r>
        <w:rPr/>
        <w:t>con:</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7,62 x 25 mm, 85 gr. FMJ Tokarev - 5</w:t>
      </w:r>
      <w:r>
        <w:rPr>
          <w:spacing w:val="-3"/>
          <w:sz w:val="20"/>
        </w:rPr>
        <w:t> </w:t>
      </w:r>
      <w:r>
        <w:rPr>
          <w:sz w:val="20"/>
        </w:rPr>
        <w:t>impactos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5,7 x 28 mm, 28 gr. SS195 / HP - 5</w:t>
      </w:r>
      <w:r>
        <w:rPr>
          <w:spacing w:val="-11"/>
          <w:sz w:val="20"/>
        </w:rPr>
        <w:t> </w:t>
      </w:r>
      <w:r>
        <w:rPr>
          <w:sz w:val="20"/>
        </w:rPr>
        <w:t>impactos</w:t>
      </w:r>
    </w:p>
    <w:p>
      <w:pPr>
        <w:pStyle w:val="ListParagraph"/>
        <w:numPr>
          <w:ilvl w:val="1"/>
          <w:numId w:val="1"/>
        </w:numPr>
        <w:tabs>
          <w:tab w:pos="1027" w:val="left" w:leader="none"/>
          <w:tab w:pos="1028" w:val="left" w:leader="none"/>
        </w:tabs>
        <w:spacing w:line="240" w:lineRule="auto" w:before="21" w:after="0"/>
        <w:ind w:left="1028" w:right="0" w:hanging="437"/>
        <w:jc w:val="left"/>
        <w:rPr>
          <w:sz w:val="20"/>
        </w:rPr>
      </w:pPr>
      <w:r>
        <w:rPr>
          <w:sz w:val="20"/>
        </w:rPr>
        <w:t>5,7 x 28 mm, 40 gr. SS197 Blue Tip - 5</w:t>
      </w:r>
      <w:r>
        <w:rPr>
          <w:spacing w:val="-11"/>
          <w:sz w:val="20"/>
        </w:rPr>
        <w:t> </w:t>
      </w:r>
      <w:r>
        <w:rPr>
          <w:sz w:val="20"/>
        </w:rPr>
        <w:t>impactos</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9 mm, 127 gr. + P + SXT, Win. - 5</w:t>
      </w:r>
      <w:r>
        <w:rPr>
          <w:spacing w:val="-4"/>
          <w:sz w:val="20"/>
        </w:rPr>
        <w:t> </w:t>
      </w:r>
      <w:r>
        <w:rPr>
          <w:sz w:val="20"/>
        </w:rPr>
        <w:t>impactos</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.357-Sig, 125 gr. TMJ - 5</w:t>
      </w:r>
      <w:r>
        <w:rPr>
          <w:spacing w:val="-3"/>
          <w:sz w:val="20"/>
        </w:rPr>
        <w:t> </w:t>
      </w:r>
      <w:r>
        <w:rPr>
          <w:sz w:val="20"/>
        </w:rPr>
        <w:t>impactos</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.44-Magnum, 240 gr. SJHP - 5</w:t>
      </w:r>
      <w:r>
        <w:rPr>
          <w:spacing w:val="-7"/>
          <w:sz w:val="20"/>
        </w:rPr>
        <w:t> </w:t>
      </w:r>
      <w:r>
        <w:rPr>
          <w:sz w:val="20"/>
        </w:rPr>
        <w:t>impactos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.22-Cal FSP, 17 gr. Fragmentación - 17 gr. V50 ≥ 2148 ft/s (655</w:t>
      </w:r>
      <w:r>
        <w:rPr>
          <w:spacing w:val="-5"/>
          <w:sz w:val="20"/>
        </w:rPr>
        <w:t> </w:t>
      </w:r>
      <w:r>
        <w:rPr>
          <w:sz w:val="20"/>
        </w:rPr>
        <w:t>m/s)</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Similar o superior a marca Protech By Safariland, Modelo I FR X – Type IIIA</w:t>
      </w:r>
    </w:p>
    <w:p>
      <w:pPr>
        <w:spacing w:after="0" w:line="240" w:lineRule="auto"/>
        <w:jc w:val="left"/>
        <w:rPr>
          <w:sz w:val="20"/>
        </w:rPr>
        <w:sectPr>
          <w:headerReference w:type="default" r:id="rId16"/>
          <w:pgSz w:w="12240" w:h="15840"/>
          <w:pgMar w:header="0" w:footer="0" w:top="1040" w:bottom="280" w:left="260" w:right="0"/>
        </w:sectPr>
      </w:pPr>
    </w:p>
    <w:p>
      <w:pPr>
        <w:pStyle w:val="ListParagraph"/>
        <w:numPr>
          <w:ilvl w:val="1"/>
          <w:numId w:val="1"/>
        </w:numPr>
        <w:tabs>
          <w:tab w:pos="1027" w:val="left" w:leader="none"/>
          <w:tab w:pos="1028" w:val="left" w:leader="none"/>
        </w:tabs>
        <w:spacing w:line="240" w:lineRule="auto" w:before="90" w:after="0"/>
        <w:ind w:left="1028" w:right="0" w:hanging="436"/>
        <w:jc w:val="left"/>
        <w:rPr>
          <w:sz w:val="20"/>
        </w:rPr>
      </w:pPr>
      <w:r>
        <w:rPr>
          <w:sz w:val="20"/>
        </w:rPr>
        <w:t>Incluye bolsa de</w:t>
      </w:r>
      <w:r>
        <w:rPr>
          <w:spacing w:val="-5"/>
          <w:sz w:val="20"/>
        </w:rPr>
        <w:t> </w:t>
      </w:r>
      <w:r>
        <w:rPr>
          <w:sz w:val="20"/>
        </w:rPr>
        <w:t>transporte</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Aportar ficha</w:t>
      </w:r>
      <w:r>
        <w:rPr>
          <w:spacing w:val="-2"/>
          <w:sz w:val="20"/>
        </w:rPr>
        <w:t> </w:t>
      </w:r>
      <w:r>
        <w:rPr>
          <w:sz w:val="20"/>
        </w:rPr>
        <w:t>técnica</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Aportar certificado de distribuidor oficial de la</w:t>
      </w:r>
      <w:r>
        <w:rPr>
          <w:spacing w:val="-2"/>
          <w:sz w:val="20"/>
        </w:rPr>
        <w:t> </w:t>
      </w:r>
      <w:r>
        <w:rPr>
          <w:sz w:val="20"/>
        </w:rPr>
        <w:t>marca</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Aportar certificado de nivel de balística del escudo tomando en cuenta la</w:t>
      </w:r>
      <w:r>
        <w:rPr>
          <w:spacing w:val="-18"/>
          <w:sz w:val="20"/>
        </w:rPr>
        <w:t> </w:t>
      </w:r>
      <w:r>
        <w:rPr>
          <w:sz w:val="20"/>
        </w:rPr>
        <w:t>mirilla.</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Incluye sistema de</w:t>
      </w:r>
      <w:r>
        <w:rPr>
          <w:spacing w:val="-5"/>
          <w:sz w:val="20"/>
        </w:rPr>
        <w:t> </w:t>
      </w:r>
      <w:r>
        <w:rPr>
          <w:sz w:val="20"/>
        </w:rPr>
        <w:t>luces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Sobre el sistema de</w:t>
      </w:r>
      <w:r>
        <w:rPr>
          <w:spacing w:val="-9"/>
          <w:sz w:val="20"/>
        </w:rPr>
        <w:t> </w:t>
      </w:r>
      <w:r>
        <w:rPr>
          <w:sz w:val="20"/>
        </w:rPr>
        <w:t>luz:</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1000 lumens LED</w:t>
      </w:r>
    </w:p>
    <w:p>
      <w:pPr>
        <w:pStyle w:val="ListParagraph"/>
        <w:numPr>
          <w:ilvl w:val="1"/>
          <w:numId w:val="1"/>
        </w:numPr>
        <w:tabs>
          <w:tab w:pos="1027" w:val="left" w:leader="none"/>
          <w:tab w:pos="1028" w:val="left" w:leader="none"/>
        </w:tabs>
        <w:spacing w:line="240" w:lineRule="auto" w:before="21" w:after="0"/>
        <w:ind w:left="1028" w:right="0" w:hanging="436"/>
        <w:jc w:val="left"/>
        <w:rPr>
          <w:sz w:val="20"/>
        </w:rPr>
      </w:pPr>
      <w:r>
        <w:rPr>
          <w:sz w:val="20"/>
        </w:rPr>
        <w:t>3 tipos de modo: Momentáneo, Turbo-Strobe ™, encendido</w:t>
      </w:r>
      <w:r>
        <w:rPr>
          <w:spacing w:val="-9"/>
          <w:sz w:val="20"/>
        </w:rPr>
        <w:t> </w:t>
      </w:r>
      <w:r>
        <w:rPr>
          <w:sz w:val="20"/>
        </w:rPr>
        <w:t>continuo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Certificado de protección IPX7 o</w:t>
      </w:r>
      <w:r>
        <w:rPr>
          <w:spacing w:val="-6"/>
          <w:sz w:val="20"/>
        </w:rPr>
        <w:t> </w:t>
      </w:r>
      <w:r>
        <w:rPr>
          <w:sz w:val="20"/>
        </w:rPr>
        <w:t>superior</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Resistente a fuego, cumple con NFPA</w:t>
      </w:r>
      <w:r>
        <w:rPr>
          <w:spacing w:val="-9"/>
          <w:sz w:val="20"/>
        </w:rPr>
        <w:t> </w:t>
      </w:r>
      <w:r>
        <w:rPr>
          <w:sz w:val="20"/>
        </w:rPr>
        <w:t>1971-8.6(2013)</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Impermeabilidad al agua mínima 6</w:t>
      </w:r>
      <w:r>
        <w:rPr>
          <w:spacing w:val="-10"/>
          <w:sz w:val="20"/>
        </w:rPr>
        <w:t> </w:t>
      </w:r>
      <w:r>
        <w:rPr>
          <w:sz w:val="20"/>
        </w:rPr>
        <w:t>metros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Resistente a impacto mínimo de 3</w:t>
      </w:r>
      <w:r>
        <w:rPr>
          <w:spacing w:val="-6"/>
          <w:sz w:val="20"/>
        </w:rPr>
        <w:t> </w:t>
      </w:r>
      <w:r>
        <w:rPr>
          <w:sz w:val="20"/>
        </w:rPr>
        <w:t>metros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Color de led blanco</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Distancia del haz mínimo 138</w:t>
      </w:r>
      <w:r>
        <w:rPr>
          <w:spacing w:val="-6"/>
          <w:sz w:val="20"/>
        </w:rPr>
        <w:t> </w:t>
      </w:r>
      <w:r>
        <w:rPr>
          <w:sz w:val="20"/>
        </w:rPr>
        <w:t>m</w:t>
      </w:r>
    </w:p>
    <w:p>
      <w:pPr>
        <w:pStyle w:val="ListParagraph"/>
        <w:numPr>
          <w:ilvl w:val="1"/>
          <w:numId w:val="1"/>
        </w:numPr>
        <w:tabs>
          <w:tab w:pos="1027" w:val="left" w:leader="none"/>
          <w:tab w:pos="1028" w:val="left" w:leader="none"/>
        </w:tabs>
        <w:spacing w:line="240" w:lineRule="auto" w:before="21" w:after="0"/>
        <w:ind w:left="1028" w:right="0" w:hanging="436"/>
        <w:jc w:val="left"/>
        <w:rPr>
          <w:sz w:val="20"/>
        </w:rPr>
      </w:pPr>
      <w:r>
        <w:rPr>
          <w:sz w:val="20"/>
        </w:rPr>
        <w:t>Peso máximo 24</w:t>
      </w:r>
      <w:r>
        <w:rPr>
          <w:spacing w:val="-6"/>
          <w:sz w:val="20"/>
        </w:rPr>
        <w:t> </w:t>
      </w:r>
      <w:r>
        <w:rPr>
          <w:sz w:val="20"/>
        </w:rPr>
        <w:t>onzas</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Operación de interruptor único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Modo</w:t>
      </w:r>
      <w:r>
        <w:rPr>
          <w:spacing w:val="-4"/>
          <w:sz w:val="20"/>
        </w:rPr>
        <w:t> </w:t>
      </w:r>
      <w:r>
        <w:rPr>
          <w:sz w:val="20"/>
        </w:rPr>
        <w:t>Turbo-estroboscópico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Interruptor de</w:t>
      </w:r>
      <w:r>
        <w:rPr>
          <w:spacing w:val="-1"/>
          <w:sz w:val="20"/>
        </w:rPr>
        <w:t> </w:t>
      </w:r>
      <w:r>
        <w:rPr>
          <w:sz w:val="20"/>
        </w:rPr>
        <w:t>apagado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Dos opciones de programa: 3 modos tácticos o encendido /</w:t>
      </w:r>
      <w:r>
        <w:rPr>
          <w:spacing w:val="-10"/>
          <w:sz w:val="20"/>
        </w:rPr>
        <w:t> </w:t>
      </w:r>
      <w:r>
        <w:rPr>
          <w:sz w:val="20"/>
        </w:rPr>
        <w:t>apagado</w:t>
      </w:r>
    </w:p>
    <w:p>
      <w:pPr>
        <w:pStyle w:val="ListParagraph"/>
        <w:numPr>
          <w:ilvl w:val="1"/>
          <w:numId w:val="1"/>
        </w:numPr>
        <w:tabs>
          <w:tab w:pos="1027" w:val="left" w:leader="none"/>
          <w:tab w:pos="1028" w:val="left" w:leader="none"/>
        </w:tabs>
        <w:spacing w:line="240" w:lineRule="auto" w:before="25" w:after="0"/>
        <w:ind w:left="1028" w:right="0" w:hanging="436"/>
        <w:jc w:val="left"/>
        <w:rPr>
          <w:sz w:val="20"/>
        </w:rPr>
      </w:pPr>
      <w:r>
        <w:rPr>
          <w:sz w:val="20"/>
        </w:rPr>
        <w:t>Cable de acero</w:t>
      </w:r>
      <w:r>
        <w:rPr>
          <w:spacing w:val="-6"/>
          <w:sz w:val="20"/>
        </w:rPr>
        <w:t> </w:t>
      </w:r>
      <w:r>
        <w:rPr>
          <w:sz w:val="20"/>
        </w:rPr>
        <w:t>trenzado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Similar o superior a marca Fox Fury Taker</w:t>
      </w:r>
      <w:r>
        <w:rPr>
          <w:spacing w:val="-5"/>
          <w:sz w:val="20"/>
        </w:rPr>
        <w:t> </w:t>
      </w:r>
      <w:r>
        <w:rPr>
          <w:sz w:val="20"/>
        </w:rPr>
        <w:t>B50.</w:t>
      </w:r>
    </w:p>
    <w:p>
      <w:pPr>
        <w:pStyle w:val="ListParagraph"/>
        <w:numPr>
          <w:ilvl w:val="1"/>
          <w:numId w:val="1"/>
        </w:numPr>
        <w:tabs>
          <w:tab w:pos="1027" w:val="left" w:leader="none"/>
          <w:tab w:pos="1028" w:val="left" w:leader="none"/>
        </w:tabs>
        <w:spacing w:line="240" w:lineRule="auto" w:before="21" w:after="0"/>
        <w:ind w:left="1028" w:right="0" w:hanging="436"/>
        <w:jc w:val="left"/>
        <w:rPr>
          <w:sz w:val="20"/>
        </w:rPr>
      </w:pPr>
      <w:r>
        <w:rPr>
          <w:sz w:val="20"/>
        </w:rPr>
        <w:t>Aportar ficha técnica del sistema de</w:t>
      </w:r>
      <w:r>
        <w:rPr>
          <w:spacing w:val="-3"/>
          <w:sz w:val="20"/>
        </w:rPr>
        <w:t> </w:t>
      </w:r>
      <w:r>
        <w:rPr>
          <w:sz w:val="20"/>
        </w:rPr>
        <w:t>luz.</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El sistema de luz debe entregarse instalado en el</w:t>
      </w:r>
      <w:r>
        <w:rPr>
          <w:spacing w:val="-9"/>
          <w:sz w:val="20"/>
        </w:rPr>
        <w:t> </w:t>
      </w:r>
      <w:r>
        <w:rPr>
          <w:sz w:val="20"/>
        </w:rPr>
        <w:t>escudo.</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drawing>
          <wp:anchor distT="0" distB="0" distL="0" distR="0" allowOverlap="1" layoutInCell="1" locked="0" behindDoc="0" simplePos="0" relativeHeight="251666432">
            <wp:simplePos x="0" y="0"/>
            <wp:positionH relativeFrom="page">
              <wp:posOffset>5998655</wp:posOffset>
            </wp:positionH>
            <wp:positionV relativeFrom="paragraph">
              <wp:posOffset>342416</wp:posOffset>
            </wp:positionV>
            <wp:extent cx="1773744" cy="215938"/>
            <wp:effectExtent l="0" t="0" r="0" b="0"/>
            <wp:wrapNone/>
            <wp:docPr id="3" name="image5.png" descr="þÿ"/>
            <wp:cNvGraphicFramePr>
              <a:graphicFrameLocks noChangeAspect="1"/>
            </wp:cNvGraphicFramePr>
            <a:graphic>
              <a:graphicData uri="http://schemas.openxmlformats.org/drawingml/2006/picture">
                <pic:pic>
                  <pic:nvPicPr>
                    <pic:cNvPr id="4" name="image5.png"/>
                    <pic:cNvPicPr/>
                  </pic:nvPicPr>
                  <pic:blipFill>
                    <a:blip r:embed="rId17" cstate="print"/>
                    <a:stretch>
                      <a:fillRect/>
                    </a:stretch>
                  </pic:blipFill>
                  <pic:spPr>
                    <a:xfrm>
                      <a:off x="0" y="0"/>
                      <a:ext cx="1773744" cy="215938"/>
                    </a:xfrm>
                    <a:prstGeom prst="rect">
                      <a:avLst/>
                    </a:prstGeom>
                  </pic:spPr>
                </pic:pic>
              </a:graphicData>
            </a:graphic>
          </wp:anchor>
        </w:drawing>
      </w:r>
      <w:r>
        <w:rPr>
          <w:sz w:val="20"/>
        </w:rPr>
        <w:t>Diseño similar al de la</w:t>
      </w:r>
      <w:r>
        <w:rPr>
          <w:spacing w:val="-10"/>
          <w:sz w:val="20"/>
        </w:rPr>
        <w:t> </w:t>
      </w:r>
      <w:r>
        <w:rPr>
          <w:sz w:val="20"/>
        </w:rPr>
        <w:t>fotografía:</w:t>
      </w:r>
    </w:p>
    <w:p>
      <w:pPr>
        <w:pStyle w:val="BodyText"/>
        <w:rPr>
          <w:sz w:val="28"/>
        </w:rPr>
      </w:pPr>
    </w:p>
    <w:p>
      <w:pPr>
        <w:pStyle w:val="BodyText"/>
        <w:rPr>
          <w:sz w:val="28"/>
        </w:rPr>
      </w:pPr>
    </w:p>
    <w:p>
      <w:pPr>
        <w:pStyle w:val="ListParagraph"/>
        <w:numPr>
          <w:ilvl w:val="1"/>
          <w:numId w:val="1"/>
        </w:numPr>
        <w:tabs>
          <w:tab w:pos="1027" w:val="left" w:leader="none"/>
          <w:tab w:pos="1028" w:val="left" w:leader="none"/>
        </w:tabs>
        <w:spacing w:line="240" w:lineRule="auto" w:before="217" w:after="0"/>
        <w:ind w:left="1028" w:right="0" w:hanging="436"/>
        <w:jc w:val="left"/>
        <w:rPr>
          <w:sz w:val="20"/>
        </w:rPr>
      </w:pPr>
      <w:r>
        <w:rPr>
          <w:sz w:val="20"/>
        </w:rPr>
        <w:t>Tiempo de entrega: 60 días</w:t>
      </w:r>
      <w:r>
        <w:rPr>
          <w:spacing w:val="1"/>
          <w:sz w:val="20"/>
        </w:rPr>
        <w:t> </w:t>
      </w:r>
      <w:r>
        <w:rPr>
          <w:sz w:val="20"/>
        </w:rPr>
        <w:t>hábiles</w:t>
      </w:r>
    </w:p>
    <w:p>
      <w:pPr>
        <w:pStyle w:val="ListParagraph"/>
        <w:numPr>
          <w:ilvl w:val="1"/>
          <w:numId w:val="1"/>
        </w:numPr>
        <w:tabs>
          <w:tab w:pos="1027" w:val="left" w:leader="none"/>
          <w:tab w:pos="1028" w:val="left" w:leader="none"/>
        </w:tabs>
        <w:spacing w:line="240" w:lineRule="auto" w:before="25" w:after="0"/>
        <w:ind w:left="1028" w:right="0" w:hanging="437"/>
        <w:jc w:val="left"/>
        <w:rPr>
          <w:sz w:val="20"/>
        </w:rPr>
      </w:pPr>
      <w:r>
        <w:rPr>
          <w:sz w:val="20"/>
        </w:rPr>
        <w:t>Garantía: 36 meses para el escudo y 12 meses para el sistema de</w:t>
      </w:r>
      <w:r>
        <w:rPr>
          <w:spacing w:val="-19"/>
          <w:sz w:val="20"/>
        </w:rPr>
        <w:t> </w:t>
      </w:r>
      <w:r>
        <w:rPr>
          <w:sz w:val="20"/>
        </w:rPr>
        <w:t>luces.</w:t>
      </w:r>
    </w:p>
    <w:p>
      <w:pPr>
        <w:pStyle w:val="BodyText"/>
        <w:rPr>
          <w:sz w:val="28"/>
        </w:rPr>
      </w:pPr>
    </w:p>
    <w:p>
      <w:pPr>
        <w:pStyle w:val="BodyText"/>
        <w:rPr>
          <w:sz w:val="28"/>
        </w:rPr>
      </w:pPr>
    </w:p>
    <w:p>
      <w:pPr>
        <w:pStyle w:val="BodyText"/>
        <w:rPr>
          <w:sz w:val="28"/>
        </w:rPr>
      </w:pPr>
    </w:p>
    <w:p>
      <w:pPr>
        <w:pStyle w:val="BodyText"/>
        <w:spacing w:before="3"/>
        <w:rPr>
          <w:sz w:val="37"/>
        </w:rPr>
      </w:pPr>
    </w:p>
    <w:p>
      <w:pPr>
        <w:pStyle w:val="Heading4"/>
        <w:numPr>
          <w:ilvl w:val="1"/>
          <w:numId w:val="3"/>
        </w:numPr>
        <w:tabs>
          <w:tab w:pos="605" w:val="left" w:leader="none"/>
        </w:tabs>
        <w:spacing w:line="240" w:lineRule="auto" w:before="0" w:after="0"/>
        <w:ind w:left="604" w:right="0" w:hanging="298"/>
        <w:jc w:val="left"/>
      </w:pPr>
      <w:r>
        <w:rPr/>
        <w:t>Precio en la</w:t>
      </w:r>
      <w:r>
        <w:rPr>
          <w:spacing w:val="1"/>
        </w:rPr>
        <w:t> </w:t>
      </w:r>
      <w:r>
        <w:rPr/>
        <w:t>oferta</w:t>
      </w:r>
    </w:p>
    <w:p>
      <w:pPr>
        <w:pStyle w:val="BodyText"/>
        <w:spacing w:before="12"/>
        <w:rPr>
          <w:b/>
          <w:sz w:val="19"/>
        </w:rPr>
      </w:pPr>
    </w:p>
    <w:p>
      <w:pPr>
        <w:pStyle w:val="BodyText"/>
        <w:ind w:left="307"/>
      </w:pPr>
      <w:r>
        <w:rPr/>
        <w:t>A la hora de incluir el precio en la oferta, deberá considerar lo siguiente:</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60"/>
      </w:tblGrid>
      <w:tr>
        <w:trPr>
          <w:trHeight w:val="242" w:hRule="atLeast"/>
        </w:trPr>
        <w:tc>
          <w:tcPr>
            <w:tcW w:w="11260" w:type="dxa"/>
          </w:tcPr>
          <w:p>
            <w:pPr>
              <w:pStyle w:val="TableParagraph"/>
              <w:spacing w:line="221" w:lineRule="exact"/>
              <w:ind w:left="107"/>
              <w:rPr>
                <w:sz w:val="20"/>
              </w:rPr>
            </w:pPr>
            <w:r>
              <w:rPr>
                <w:b/>
                <w:sz w:val="20"/>
              </w:rPr>
              <w:t>5.1.1 </w:t>
            </w:r>
            <w:r>
              <w:rPr>
                <w:sz w:val="20"/>
              </w:rPr>
              <w:t>El o la oferente debe cotizar en un solo tipo de moneda sea nacional o extranjera.</w:t>
            </w:r>
          </w:p>
        </w:tc>
      </w:tr>
      <w:tr>
        <w:trPr>
          <w:trHeight w:val="490" w:hRule="atLeast"/>
        </w:trPr>
        <w:tc>
          <w:tcPr>
            <w:tcW w:w="11260" w:type="dxa"/>
          </w:tcPr>
          <w:p>
            <w:pPr>
              <w:pStyle w:val="TableParagraph"/>
              <w:spacing w:line="240" w:lineRule="atLeast" w:before="4"/>
              <w:ind w:left="107" w:right="60"/>
              <w:rPr>
                <w:sz w:val="20"/>
              </w:rPr>
            </w:pPr>
            <w:r>
              <w:rPr>
                <w:b/>
                <w:sz w:val="20"/>
              </w:rPr>
              <w:t>5.1.2 </w:t>
            </w:r>
            <w:r>
              <w:rPr>
                <w:sz w:val="20"/>
              </w:rPr>
              <w:t>Los precios cotizados en dólares deberán detallar solamente dos decimales, en caso de ofertar con cuatro decimales se truncará a 2 decimales sin redondear.</w:t>
            </w:r>
          </w:p>
        </w:tc>
      </w:tr>
      <w:tr>
        <w:trPr>
          <w:trHeight w:val="483" w:hRule="atLeast"/>
        </w:trPr>
        <w:tc>
          <w:tcPr>
            <w:tcW w:w="11260" w:type="dxa"/>
          </w:tcPr>
          <w:p>
            <w:pPr>
              <w:pStyle w:val="TableParagraph"/>
              <w:spacing w:line="242" w:lineRule="exact"/>
              <w:ind w:left="107"/>
              <w:rPr>
                <w:sz w:val="20"/>
              </w:rPr>
            </w:pPr>
            <w:r>
              <w:rPr>
                <w:b/>
                <w:sz w:val="20"/>
              </w:rPr>
              <w:t>5.1.3 </w:t>
            </w:r>
            <w:r>
              <w:rPr>
                <w:sz w:val="20"/>
              </w:rPr>
              <w:t>Se debe indicar el precio unitario de acuerdo a la unidad de medida solicitada en el cartel. En aquellos casos, en que no se indique</w:t>
            </w:r>
          </w:p>
          <w:p>
            <w:pPr>
              <w:pStyle w:val="TableParagraph"/>
              <w:spacing w:line="221" w:lineRule="exact"/>
              <w:ind w:left="107"/>
              <w:rPr>
                <w:sz w:val="20"/>
              </w:rPr>
            </w:pPr>
            <w:r>
              <w:rPr>
                <w:sz w:val="20"/>
              </w:rPr>
              <w:t>el precio unitario, se procederá a realizar el cálculo respectivo, a partir del monto total en letras.</w:t>
            </w:r>
          </w:p>
        </w:tc>
      </w:tr>
      <w:tr>
        <w:trPr>
          <w:trHeight w:val="245" w:hRule="atLeast"/>
        </w:trPr>
        <w:tc>
          <w:tcPr>
            <w:tcW w:w="11260" w:type="dxa"/>
          </w:tcPr>
          <w:p>
            <w:pPr>
              <w:pStyle w:val="TableParagraph"/>
              <w:spacing w:line="221" w:lineRule="exact" w:before="4"/>
              <w:ind w:left="107"/>
              <w:rPr>
                <w:sz w:val="20"/>
              </w:rPr>
            </w:pPr>
            <w:r>
              <w:rPr>
                <w:b/>
                <w:sz w:val="20"/>
              </w:rPr>
              <w:t>5.1.4 </w:t>
            </w:r>
            <w:r>
              <w:rPr>
                <w:sz w:val="20"/>
              </w:rPr>
              <w:t>En el caso de existir descuentos, estos deben aplicarse de forma independiente, es decir en cada línea cotizada</w:t>
            </w:r>
          </w:p>
        </w:tc>
      </w:tr>
      <w:tr>
        <w:trPr>
          <w:trHeight w:val="485" w:hRule="atLeast"/>
        </w:trPr>
        <w:tc>
          <w:tcPr>
            <w:tcW w:w="11260" w:type="dxa"/>
          </w:tcPr>
          <w:p>
            <w:pPr>
              <w:pStyle w:val="TableParagraph"/>
              <w:spacing w:line="240" w:lineRule="atLeast"/>
              <w:ind w:left="107" w:right="60"/>
              <w:rPr>
                <w:sz w:val="20"/>
              </w:rPr>
            </w:pPr>
            <w:r>
              <w:rPr>
                <w:b/>
                <w:sz w:val="20"/>
              </w:rPr>
              <w:t>5.1.5 </w:t>
            </w:r>
            <w:r>
              <w:rPr>
                <w:sz w:val="20"/>
              </w:rPr>
              <w:t>La oferta se debe confeccionar con el impuesto de valor agregado para los bienes o servicios que se adquieran en esta contratación, esto de conformidad con la Ley N° 9635 -Fortalecimiento de las finanzas públicas.</w:t>
            </w:r>
          </w:p>
        </w:tc>
      </w:tr>
      <w:tr>
        <w:trPr>
          <w:trHeight w:val="488" w:hRule="atLeast"/>
        </w:trPr>
        <w:tc>
          <w:tcPr>
            <w:tcW w:w="11260" w:type="dxa"/>
          </w:tcPr>
          <w:p>
            <w:pPr>
              <w:pStyle w:val="TableParagraph"/>
              <w:spacing w:before="2"/>
              <w:ind w:left="107"/>
              <w:rPr>
                <w:b/>
                <w:sz w:val="20"/>
              </w:rPr>
            </w:pPr>
            <w:r>
              <w:rPr>
                <w:b/>
                <w:sz w:val="20"/>
              </w:rPr>
              <w:t>5.1.6 Régimen de Tributación Simplificada</w:t>
            </w:r>
          </w:p>
        </w:tc>
      </w:tr>
    </w:tbl>
    <w:p>
      <w:pPr>
        <w:spacing w:after="0"/>
        <w:rPr>
          <w:sz w:val="20"/>
        </w:rPr>
        <w:sectPr>
          <w:pgSz w:w="12240" w:h="15840"/>
          <w:pgMar w:header="0" w:footer="0" w:top="1040" w:bottom="280" w:left="260" w:right="0"/>
        </w:sectPr>
      </w:pPr>
    </w:p>
    <w:p>
      <w:pPr>
        <w:pStyle w:val="BodyText"/>
        <w:spacing w:before="1"/>
        <w:rPr>
          <w:sz w:val="7"/>
        </w:rPr>
      </w:pPr>
    </w:p>
    <w:p>
      <w:pPr>
        <w:pStyle w:val="BodyText"/>
        <w:ind w:left="100"/>
      </w:pPr>
      <w:r>
        <w:rPr/>
        <w:pict>
          <v:shape style="width:563pt;height:136.6pt;mso-position-horizontal-relative:char;mso-position-vertical-relative:line" type="#_x0000_t202" filled="false" stroked="true" strokeweight=".4pt" strokecolor="#000000">
            <w10:anchorlock/>
            <v:textbox inset="0,0,0,0">
              <w:txbxContent>
                <w:p>
                  <w:pPr>
                    <w:pStyle w:val="BodyText"/>
                    <w:spacing w:before="5"/>
                    <w:ind w:left="103" w:right="104"/>
                    <w:jc w:val="both"/>
                  </w:pPr>
                  <w:r>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 Sin embargo, para una evaluación de las ofertas en igualdad de condiciones entre los oferentes, en el caso de que algún interesado en presentar su oferta pertenezca a este régimen, deberá considerar en su oferta lo siguiente: Indicar si pertenece al régimen de tributación simplificado. SI</w:t>
                  </w:r>
                  <w:r>
                    <w:rPr>
                      <w:spacing w:val="12"/>
                    </w:rPr>
                    <w:t> </w:t>
                  </w:r>
                  <w:r>
                    <w:rPr/>
                    <w:t>NO</w:t>
                  </w:r>
                  <w:r>
                    <w:rPr>
                      <w:spacing w:val="-2"/>
                    </w:rPr>
                    <w:t> </w:t>
                  </w:r>
                  <w:r>
                    <w:rPr>
                      <w:u w:val="single"/>
                    </w:rPr>
                    <w:t>        </w:t>
                  </w:r>
                  <w:r>
                    <w:rPr>
                      <w:spacing w:val="-7"/>
                      <w:u w:val="single"/>
                    </w:rPr>
                    <w:t> </w:t>
                  </w:r>
                </w:p>
                <w:p>
                  <w:pPr>
                    <w:pStyle w:val="BodyText"/>
                    <w:spacing w:line="244" w:lineRule="auto" w:before="32"/>
                    <w:ind w:left="103" w:right="106"/>
                    <w:jc w:val="both"/>
                  </w:pPr>
                  <w:r>
                    <w:rPr/>
                    <w:t>A la hora de presentar el precio unitario y total deberá incluir sin excepción el IVA que le corresponde a la(s) línea(s) a ofertar conforme lo definido en el cuadro económico detalla al inicio de este apartado, esto para efecto de la evaluación de las ofertas.</w:t>
                  </w:r>
                </w:p>
                <w:p>
                  <w:pPr>
                    <w:pStyle w:val="BodyText"/>
                    <w:spacing w:before="5"/>
                    <w:rPr>
                      <w:sz w:val="19"/>
                    </w:rPr>
                  </w:pPr>
                </w:p>
                <w:p>
                  <w:pPr>
                    <w:pStyle w:val="BodyText"/>
                    <w:spacing w:before="1"/>
                    <w:ind w:left="103" w:right="104"/>
                    <w:jc w:val="both"/>
                  </w:pPr>
                  <w:r>
                    <w:rPr/>
                    <w:t>Es importante aclarar que en caso de que el adjudicatario SI ostente la condición de pertenecer al Régimen de Tributación Simplificado, se le descontará el monto correspondiente al </w:t>
                  </w:r>
                  <w:r>
                    <w:rPr>
                      <w:b/>
                    </w:rPr>
                    <w:t>13 % del IVA </w:t>
                  </w:r>
                  <w:r>
                    <w:rPr/>
                    <w:t>para cada una de la(s) línea(s) en las que resulte adjudicatario(a) al momento de emitir el</w:t>
                  </w:r>
                  <w:r>
                    <w:rPr>
                      <w:spacing w:val="-8"/>
                    </w:rPr>
                    <w:t> </w:t>
                  </w:r>
                  <w:r>
                    <w:rPr/>
                    <w:t>pedido.</w:t>
                  </w:r>
                </w:p>
              </w:txbxContent>
            </v:textbox>
            <v:stroke dashstyle="solid"/>
          </v:shape>
        </w:pict>
      </w:r>
      <w:r>
        <w:rPr/>
      </w:r>
    </w:p>
    <w:p>
      <w:pPr>
        <w:pStyle w:val="BodyText"/>
      </w:pPr>
    </w:p>
    <w:p>
      <w:pPr>
        <w:pStyle w:val="BodyText"/>
        <w:spacing w:before="6"/>
        <w:rPr>
          <w:sz w:val="17"/>
        </w:rPr>
      </w:pPr>
    </w:p>
    <w:p>
      <w:pPr>
        <w:pStyle w:val="Heading4"/>
        <w:numPr>
          <w:ilvl w:val="1"/>
          <w:numId w:val="3"/>
        </w:numPr>
        <w:tabs>
          <w:tab w:pos="608" w:val="left" w:leader="none"/>
        </w:tabs>
        <w:spacing w:line="240" w:lineRule="auto" w:before="0" w:after="0"/>
        <w:ind w:left="608" w:right="0" w:hanging="301"/>
        <w:jc w:val="left"/>
      </w:pPr>
      <w:r>
        <w:rPr/>
        <w:t>En el caso de requerir exoneración de impuestos de</w:t>
      </w:r>
      <w:r>
        <w:rPr>
          <w:spacing w:val="-12"/>
        </w:rPr>
        <w:t> </w:t>
      </w:r>
      <w:r>
        <w:rPr/>
        <w:t>nacionalización</w:t>
      </w:r>
    </w:p>
    <w:p>
      <w:pPr>
        <w:pStyle w:val="BodyText"/>
        <w:ind w:left="96"/>
      </w:pPr>
      <w:r>
        <w:rPr/>
        <w:pict>
          <v:shape style="width:563.2pt;height:248pt;mso-position-horizontal-relative:char;mso-position-vertical-relative:line" type="#_x0000_t202" filled="false" stroked="true" strokeweight=".4pt" strokecolor="#000000">
            <w10:anchorlock/>
            <v:textbox inset="0,0,0,0">
              <w:txbxContent>
                <w:p>
                  <w:pPr>
                    <w:pStyle w:val="BodyText"/>
                    <w:rPr>
                      <w:b/>
                    </w:rPr>
                  </w:pPr>
                </w:p>
                <w:p>
                  <w:pPr>
                    <w:pStyle w:val="BodyText"/>
                    <w:spacing w:before="5"/>
                    <w:rPr>
                      <w:b/>
                    </w:rPr>
                  </w:pPr>
                </w:p>
                <w:p>
                  <w:pPr>
                    <w:pStyle w:val="BodyText"/>
                    <w:tabs>
                      <w:tab w:pos="2635" w:val="left" w:leader="none"/>
                      <w:tab w:pos="3291" w:val="left" w:leader="none"/>
                    </w:tabs>
                    <w:spacing w:line="511" w:lineRule="auto"/>
                    <w:ind w:left="103" w:right="7901"/>
                  </w:pPr>
                  <w:r>
                    <w:rPr/>
                    <w:t>Marque con una X:  Si (</w:t>
                  </w:r>
                  <w:r>
                    <w:rPr>
                      <w:spacing w:val="-9"/>
                    </w:rPr>
                    <w:t> </w:t>
                  </w:r>
                  <w:r>
                    <w:rPr/>
                    <w:t>X</w:t>
                  </w:r>
                  <w:r>
                    <w:rPr>
                      <w:spacing w:val="45"/>
                    </w:rPr>
                    <w:t> </w:t>
                  </w:r>
                  <w:r>
                    <w:rPr/>
                    <w:t>)</w:t>
                    <w:tab/>
                    <w:t>No</w:t>
                  </w:r>
                  <w:r>
                    <w:rPr>
                      <w:spacing w:val="42"/>
                    </w:rPr>
                    <w:t> </w:t>
                  </w:r>
                  <w:r>
                    <w:rPr/>
                    <w:t>(</w:t>
                    <w:tab/>
                  </w:r>
                  <w:r>
                    <w:rPr>
                      <w:spacing w:val="-17"/>
                    </w:rPr>
                    <w:t>) </w:t>
                  </w:r>
                  <w:r>
                    <w:rPr/>
                    <w:t>Observaciones:</w:t>
                  </w:r>
                </w:p>
                <w:p>
                  <w:pPr>
                    <w:pStyle w:val="BodyText"/>
                    <w:spacing w:line="212" w:lineRule="exact"/>
                    <w:ind w:left="823"/>
                    <w:jc w:val="both"/>
                  </w:pPr>
                  <w:r>
                    <w:rPr/>
                    <w:t>El y la oferente deberán indicar un único plazo de entrega el cual se verá suspendido al momento en que el adjudicatario haga</w:t>
                  </w:r>
                </w:p>
                <w:p>
                  <w:pPr>
                    <w:pStyle w:val="BodyText"/>
                    <w:ind w:left="103" w:right="100"/>
                    <w:jc w:val="both"/>
                  </w:pPr>
                  <w:r>
                    <w:rPr/>
                    <w:t>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 trámites.</w:t>
                  </w:r>
                </w:p>
                <w:p>
                  <w:pPr>
                    <w:pStyle w:val="BodyText"/>
                    <w:spacing w:line="243" w:lineRule="exact"/>
                    <w:ind w:left="103"/>
                    <w:jc w:val="both"/>
                  </w:pPr>
                  <w:r>
                    <w:rPr/>
                    <w:t>En caso de que no se marque ninguna opción se dará por entendido que no requiere exoneración de impuestos.</w:t>
                  </w:r>
                </w:p>
                <w:p>
                  <w:pPr>
                    <w:pStyle w:val="BodyText"/>
                    <w:spacing w:before="7"/>
                    <w:rPr>
                      <w:b/>
                      <w:sz w:val="22"/>
                    </w:rPr>
                  </w:pPr>
                </w:p>
                <w:p>
                  <w:pPr>
                    <w:spacing w:before="0"/>
                    <w:ind w:left="103" w:right="98" w:firstLine="0"/>
                    <w:jc w:val="both"/>
                    <w:rPr>
                      <w:b/>
                      <w:sz w:val="20"/>
                    </w:rPr>
                  </w:pPr>
                  <w:r>
                    <w:rPr>
                      <w:sz w:val="20"/>
                    </w:rPr>
                    <w:t>El detalle del trámite de exoneración de impuestos de nacionalización y el trámite del pago al pedido del exterior se encuentran disponibles en la </w:t>
                  </w:r>
                  <w:hyperlink r:id="rId12">
                    <w:r>
                      <w:rPr>
                        <w:b/>
                        <w:color w:val="0000FF"/>
                        <w:sz w:val="20"/>
                        <w:u w:val="single" w:color="0000FF"/>
                      </w:rPr>
                      <w:t>https://www.poder-judicial.go.cr/proveeduria</w:t>
                    </w:r>
                    <w:r>
                      <w:rPr>
                        <w:sz w:val="20"/>
                      </w:rPr>
                      <w:t>, </w:t>
                    </w:r>
                  </w:hyperlink>
                  <w:r>
                    <w:rPr>
                      <w:sz w:val="20"/>
                    </w:rPr>
                    <w:t>en “Consultas y Servicios”, apartado de </w:t>
                  </w:r>
                  <w:r>
                    <w:rPr>
                      <w:b/>
                      <w:sz w:val="20"/>
                    </w:rPr>
                    <w:t>Información de interés para los proveedores.</w:t>
                  </w:r>
                </w:p>
              </w:txbxContent>
            </v:textbox>
            <v:stroke dashstyle="solid"/>
          </v:shape>
        </w:pict>
      </w:r>
      <w:r>
        <w:rPr/>
      </w:r>
    </w:p>
    <w:p>
      <w:pPr>
        <w:pStyle w:val="BodyText"/>
        <w:spacing w:before="11"/>
        <w:rPr>
          <w:b/>
          <w:sz w:val="11"/>
        </w:rPr>
      </w:pPr>
    </w:p>
    <w:p>
      <w:pPr>
        <w:spacing w:before="60"/>
        <w:ind w:left="307" w:right="0" w:firstLine="0"/>
        <w:jc w:val="left"/>
        <w:rPr>
          <w:b/>
          <w:sz w:val="20"/>
        </w:rPr>
      </w:pPr>
      <w:r>
        <w:rPr>
          <w:b/>
          <w:sz w:val="20"/>
        </w:rPr>
        <w:t>Nombre y firma del oferente o su Representante legal</w:t>
      </w:r>
    </w:p>
    <w:p>
      <w:pPr>
        <w:pStyle w:val="BodyText"/>
        <w:rPr>
          <w:b/>
        </w:rPr>
      </w:pPr>
    </w:p>
    <w:p>
      <w:pPr>
        <w:pStyle w:val="BodyText"/>
        <w:rPr>
          <w:b/>
        </w:rPr>
      </w:pPr>
    </w:p>
    <w:p>
      <w:pPr>
        <w:pStyle w:val="BodyText"/>
        <w:rPr>
          <w:b/>
        </w:rPr>
      </w:pPr>
    </w:p>
    <w:p>
      <w:pPr>
        <w:pStyle w:val="BodyText"/>
        <w:spacing w:before="8"/>
        <w:rPr>
          <w:b/>
          <w:sz w:val="17"/>
        </w:rPr>
      </w:pPr>
    </w:p>
    <w:p>
      <w:pPr>
        <w:tabs>
          <w:tab w:pos="8543" w:val="left" w:leader="none"/>
        </w:tabs>
        <w:spacing w:before="60"/>
        <w:ind w:left="5971" w:right="0" w:firstLine="0"/>
        <w:jc w:val="left"/>
        <w:rPr>
          <w:sz w:val="20"/>
        </w:rPr>
      </w:pPr>
      <w:r>
        <w:rPr/>
        <w:pict>
          <v:group style="position:absolute;margin-left:35pt;margin-top:-16.028625pt;width:189.6pt;height:42.05pt;mso-position-horizontal-relative:page;mso-position-vertical-relative:paragraph;z-index:251669504" coordorigin="700,-321" coordsize="3792,841">
            <v:shape style="position:absolute;left:1729;top:-321;width:1589;height:841" type="#_x0000_t75" alt="þÿ" stroked="false">
              <v:imagedata r:id="rId18" o:title=""/>
            </v:shape>
            <v:line style="position:absolute" from="700,280" to="4492,280" stroked="true" strokeweight=".649375pt" strokecolor="#000000">
              <v:stroke dashstyle="solid"/>
            </v:line>
            <w10:wrap type="none"/>
          </v:group>
        </w:pict>
      </w:r>
      <w:r>
        <w:rPr>
          <w:b/>
          <w:sz w:val="20"/>
        </w:rPr>
        <w:t>Fecha:</w:t>
      </w:r>
      <w:r>
        <w:rPr>
          <w:b/>
          <w:spacing w:val="-11"/>
          <w:sz w:val="20"/>
        </w:rPr>
        <w:t> </w:t>
      </w:r>
      <w:r>
        <w:rPr>
          <w:sz w:val="20"/>
          <w:u w:val="single"/>
        </w:rPr>
        <w:t>_12-Mayo-2020</w:t>
        <w:tab/>
      </w:r>
    </w:p>
    <w:p>
      <w:pPr>
        <w:pStyle w:val="BodyText"/>
      </w:pPr>
    </w:p>
    <w:p>
      <w:pPr>
        <w:pStyle w:val="BodyText"/>
      </w:pPr>
    </w:p>
    <w:p>
      <w:pPr>
        <w:pStyle w:val="BodyText"/>
      </w:pPr>
    </w:p>
    <w:p>
      <w:pPr>
        <w:pStyle w:val="BodyText"/>
      </w:pPr>
    </w:p>
    <w:p>
      <w:pPr>
        <w:pStyle w:val="BodyText"/>
      </w:pPr>
    </w:p>
    <w:p>
      <w:pPr>
        <w:pStyle w:val="BodyText"/>
        <w:spacing w:before="8"/>
        <w:rPr>
          <w:sz w:val="17"/>
        </w:rPr>
      </w:pPr>
    </w:p>
    <w:p>
      <w:pPr>
        <w:pStyle w:val="Heading4"/>
        <w:spacing w:before="60"/>
      </w:pPr>
      <w:r>
        <w:rPr/>
        <w:t>6. Método de evaluación:</w:t>
      </w:r>
    </w:p>
    <w:p>
      <w:pPr>
        <w:pStyle w:val="BodyText"/>
        <w:spacing w:before="10"/>
        <w:rPr>
          <w:b/>
          <w:sz w:val="19"/>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9496"/>
      </w:tblGrid>
      <w:tr>
        <w:trPr>
          <w:trHeight w:val="1746" w:hRule="atLeast"/>
        </w:trPr>
        <w:tc>
          <w:tcPr>
            <w:tcW w:w="1560" w:type="dxa"/>
          </w:tcPr>
          <w:p>
            <w:pPr>
              <w:pStyle w:val="TableParagraph"/>
              <w:spacing w:before="4"/>
              <w:ind w:left="311" w:right="296" w:hanging="12"/>
              <w:jc w:val="both"/>
              <w:rPr>
                <w:b/>
                <w:sz w:val="20"/>
              </w:rPr>
            </w:pPr>
            <w:r>
              <w:rPr>
                <w:b/>
                <w:sz w:val="20"/>
              </w:rPr>
              <w:t>Criterios </w:t>
            </w:r>
            <w:r>
              <w:rPr>
                <w:b/>
                <w:spacing w:val="-6"/>
                <w:sz w:val="20"/>
              </w:rPr>
              <w:t>de </w:t>
            </w:r>
            <w:r>
              <w:rPr>
                <w:b/>
                <w:sz w:val="20"/>
              </w:rPr>
              <w:t>evaluación ETAPA N° 1</w:t>
            </w:r>
          </w:p>
        </w:tc>
        <w:tc>
          <w:tcPr>
            <w:tcW w:w="9496" w:type="dxa"/>
          </w:tcPr>
          <w:p>
            <w:pPr>
              <w:pStyle w:val="TableParagraph"/>
              <w:spacing w:before="12"/>
              <w:rPr>
                <w:b/>
                <w:sz w:val="22"/>
              </w:rPr>
            </w:pPr>
          </w:p>
          <w:p>
            <w:pPr>
              <w:pStyle w:val="TableParagraph"/>
              <w:ind w:left="106"/>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pPr>
              <w:pStyle w:val="TableParagraph"/>
              <w:spacing w:line="244" w:lineRule="exact"/>
              <w:ind w:left="106"/>
              <w:rPr>
                <w:sz w:val="20"/>
              </w:rPr>
            </w:pPr>
            <w:r>
              <w:rPr>
                <w:sz w:val="20"/>
              </w:rPr>
              <w:t>P = </w:t>
            </w:r>
            <w:r>
              <w:rPr>
                <w:sz w:val="20"/>
                <w:u w:val="single"/>
              </w:rPr>
              <w:t>P1 </w:t>
            </w:r>
            <w:r>
              <w:rPr>
                <w:sz w:val="20"/>
              </w:rPr>
              <w:t>x 100</w:t>
            </w:r>
          </w:p>
          <w:p>
            <w:pPr>
              <w:pStyle w:val="TableParagraph"/>
              <w:ind w:left="3748" w:right="5493"/>
              <w:jc w:val="center"/>
              <w:rPr>
                <w:sz w:val="20"/>
              </w:rPr>
            </w:pPr>
            <w:r>
              <w:rPr>
                <w:sz w:val="20"/>
              </w:rPr>
              <w:t>P2</w:t>
            </w:r>
          </w:p>
          <w:p>
            <w:pPr>
              <w:pStyle w:val="TableParagraph"/>
              <w:ind w:left="106"/>
              <w:rPr>
                <w:sz w:val="20"/>
              </w:rPr>
            </w:pPr>
            <w:r>
              <w:rPr>
                <w:sz w:val="20"/>
              </w:rPr>
              <w:t>En donde,</w:t>
            </w:r>
          </w:p>
        </w:tc>
      </w:tr>
    </w:tbl>
    <w:p>
      <w:pPr>
        <w:spacing w:after="0"/>
        <w:rPr>
          <w:sz w:val="20"/>
        </w:rPr>
        <w:sectPr>
          <w:pgSz w:w="12240" w:h="15840"/>
          <w:pgMar w:header="0" w:footer="0" w:top="1040" w:bottom="280" w:left="260" w:right="0"/>
        </w:sectPr>
      </w:pPr>
    </w:p>
    <w:p>
      <w:pPr>
        <w:pStyle w:val="BodyText"/>
        <w:spacing w:before="6"/>
        <w:rPr>
          <w:rFonts w:ascii="Times New Roman"/>
          <w:sz w:val="7"/>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9496"/>
      </w:tblGrid>
      <w:tr>
        <w:trPr>
          <w:trHeight w:val="1954" w:hRule="atLeast"/>
        </w:trPr>
        <w:tc>
          <w:tcPr>
            <w:tcW w:w="1560" w:type="dxa"/>
          </w:tcPr>
          <w:p>
            <w:pPr>
              <w:pStyle w:val="TableParagraph"/>
              <w:rPr>
                <w:rFonts w:ascii="Times New Roman"/>
                <w:sz w:val="20"/>
              </w:rPr>
            </w:pPr>
          </w:p>
        </w:tc>
        <w:tc>
          <w:tcPr>
            <w:tcW w:w="9496" w:type="dxa"/>
          </w:tcPr>
          <w:p>
            <w:pPr>
              <w:pStyle w:val="TableParagraph"/>
              <w:spacing w:before="4"/>
              <w:ind w:left="415"/>
              <w:rPr>
                <w:sz w:val="20"/>
              </w:rPr>
            </w:pPr>
            <w:r>
              <w:rPr>
                <w:sz w:val="20"/>
              </w:rPr>
              <w:t>P = Porcentaje a asignar, para el factor precio .</w:t>
            </w:r>
          </w:p>
          <w:p>
            <w:pPr>
              <w:pStyle w:val="TableParagraph"/>
              <w:ind w:left="415" w:right="4781"/>
              <w:rPr>
                <w:sz w:val="20"/>
              </w:rPr>
            </w:pPr>
            <w:r>
              <w:rPr>
                <w:sz w:val="20"/>
              </w:rPr>
              <w:t>P1= Precio de la oferta de menor precio (en colones) P2= Precio de la oferta a evaluar (en colones)</w:t>
            </w:r>
          </w:p>
          <w:p>
            <w:pPr>
              <w:pStyle w:val="TableParagraph"/>
              <w:spacing w:line="244" w:lineRule="exact"/>
              <w:ind w:left="415"/>
              <w:rPr>
                <w:sz w:val="20"/>
              </w:rPr>
            </w:pPr>
            <w:r>
              <w:rPr>
                <w:sz w:val="20"/>
              </w:rPr>
              <w:t>100= Porcentaje máximo a asignar para este factor.</w:t>
            </w:r>
          </w:p>
          <w:p>
            <w:pPr>
              <w:pStyle w:val="TableParagraph"/>
              <w:spacing w:before="2"/>
              <w:rPr>
                <w:rFonts w:ascii="Times New Roman"/>
                <w:sz w:val="21"/>
              </w:rPr>
            </w:pPr>
          </w:p>
          <w:p>
            <w:pPr>
              <w:pStyle w:val="TableParagraph"/>
              <w:spacing w:before="1"/>
              <w:ind w:left="106"/>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trPr>
          <w:trHeight w:val="11986" w:hRule="atLeast"/>
        </w:trPr>
        <w:tc>
          <w:tcPr>
            <w:tcW w:w="1560" w:type="dxa"/>
          </w:tcPr>
          <w:p>
            <w:pPr>
              <w:pStyle w:val="TableParagraph"/>
              <w:spacing w:before="7"/>
              <w:rPr>
                <w:rFonts w:ascii="Times New Roman"/>
                <w:sz w:val="21"/>
              </w:rPr>
            </w:pPr>
          </w:p>
          <w:p>
            <w:pPr>
              <w:pStyle w:val="TableParagraph"/>
              <w:ind w:left="263" w:right="256"/>
              <w:jc w:val="center"/>
              <w:rPr>
                <w:b/>
                <w:sz w:val="20"/>
              </w:rPr>
            </w:pPr>
            <w:r>
              <w:rPr>
                <w:b/>
                <w:sz w:val="20"/>
              </w:rPr>
              <w:t>Selección de ofertas ETAPA N° 2</w:t>
            </w:r>
          </w:p>
        </w:tc>
        <w:tc>
          <w:tcPr>
            <w:tcW w:w="9496" w:type="dxa"/>
          </w:tcPr>
          <w:p>
            <w:pPr>
              <w:pStyle w:val="TableParagraph"/>
              <w:spacing w:before="4"/>
              <w:ind w:left="106" w:right="94"/>
              <w:jc w:val="both"/>
              <w:rPr>
                <w:sz w:val="20"/>
              </w:rPr>
            </w:pPr>
            <w:r>
              <w:rPr>
                <w:sz w:val="20"/>
              </w:rPr>
              <w:t>En casos de empate, se definirá el oferente ganador (u oferentes, en caso de que sea posible la adjudicación independiente de las líneas) conforme a los siguientes criterios, según el mismo orden en el que se enlistan a continuación:</w:t>
            </w:r>
          </w:p>
          <w:p>
            <w:pPr>
              <w:pStyle w:val="TableParagraph"/>
              <w:spacing w:before="2"/>
              <w:rPr>
                <w:rFonts w:ascii="Times New Roman"/>
                <w:sz w:val="21"/>
              </w:rPr>
            </w:pPr>
          </w:p>
          <w:p>
            <w:pPr>
              <w:pStyle w:val="TableParagraph"/>
              <w:ind w:left="106"/>
              <w:rPr>
                <w:b/>
                <w:sz w:val="20"/>
              </w:rPr>
            </w:pPr>
            <w:r>
              <w:rPr>
                <w:b/>
                <w:sz w:val="20"/>
              </w:rPr>
              <w:t>Desempate:</w:t>
            </w:r>
          </w:p>
          <w:p>
            <w:pPr>
              <w:pStyle w:val="TableParagraph"/>
              <w:spacing w:before="3"/>
              <w:rPr>
                <w:rFonts w:ascii="Times New Roman"/>
                <w:sz w:val="21"/>
              </w:rPr>
            </w:pPr>
          </w:p>
          <w:p>
            <w:pPr>
              <w:pStyle w:val="TableParagraph"/>
              <w:numPr>
                <w:ilvl w:val="0"/>
                <w:numId w:val="4"/>
              </w:numPr>
              <w:tabs>
                <w:tab w:pos="335" w:val="left" w:leader="none"/>
              </w:tabs>
              <w:spacing w:line="240" w:lineRule="auto" w:before="0" w:after="0"/>
              <w:ind w:left="106" w:right="102"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
                <w:sz w:val="20"/>
              </w:rPr>
              <w:t> </w:t>
            </w:r>
            <w:r>
              <w:rPr>
                <w:sz w:val="20"/>
              </w:rPr>
              <w:t>Empresas.</w:t>
            </w:r>
          </w:p>
          <w:p>
            <w:pPr>
              <w:pStyle w:val="TableParagraph"/>
              <w:spacing w:before="2"/>
              <w:rPr>
                <w:rFonts w:ascii="Times New Roman"/>
                <w:sz w:val="21"/>
              </w:rPr>
            </w:pPr>
          </w:p>
          <w:p>
            <w:pPr>
              <w:pStyle w:val="TableParagraph"/>
              <w:numPr>
                <w:ilvl w:val="0"/>
                <w:numId w:val="4"/>
              </w:numPr>
              <w:tabs>
                <w:tab w:pos="327" w:val="left" w:leader="none"/>
              </w:tabs>
              <w:spacing w:line="240" w:lineRule="auto" w:before="0" w:after="0"/>
              <w:ind w:left="107" w:right="98" w:firstLine="0"/>
              <w:jc w:val="both"/>
              <w:rPr>
                <w:sz w:val="20"/>
              </w:rPr>
            </w:pPr>
            <w:r>
              <w:rPr>
                <w:sz w:val="20"/>
              </w:rPr>
              <w:t>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27"/>
                <w:sz w:val="20"/>
              </w:rPr>
              <w:t> </w:t>
            </w:r>
            <w:r>
              <w:rPr>
                <w:sz w:val="20"/>
              </w:rPr>
              <w:t>siguentes:</w:t>
            </w:r>
          </w:p>
          <w:p>
            <w:pPr>
              <w:pStyle w:val="TableParagraph"/>
              <w:spacing w:before="11"/>
              <w:rPr>
                <w:rFonts w:ascii="Times New Roman"/>
                <w:sz w:val="23"/>
              </w:rPr>
            </w:pPr>
          </w:p>
          <w:p>
            <w:pPr>
              <w:pStyle w:val="TableParagraph"/>
              <w:spacing w:line="244" w:lineRule="auto"/>
              <w:ind w:left="106"/>
              <w:rPr>
                <w:sz w:val="20"/>
              </w:rPr>
            </w:pPr>
            <w:r>
              <w:rPr>
                <w:sz w:val="20"/>
              </w:rPr>
              <w:t>Se outorgará um puntaje adicional a cada PYME que les reconoce el artículo 55 bis del Reglamento a la Ley de Contratación Administrativa, a saber:</w:t>
            </w:r>
          </w:p>
          <w:p>
            <w:pPr>
              <w:pStyle w:val="TableParagraph"/>
              <w:spacing w:before="5"/>
              <w:rPr>
                <w:rFonts w:ascii="Times New Roman"/>
                <w:sz w:val="23"/>
              </w:rPr>
            </w:pPr>
          </w:p>
          <w:p>
            <w:pPr>
              <w:pStyle w:val="TableParagraph"/>
              <w:numPr>
                <w:ilvl w:val="0"/>
                <w:numId w:val="5"/>
              </w:numPr>
              <w:tabs>
                <w:tab w:pos="251" w:val="left" w:leader="none"/>
              </w:tabs>
              <w:spacing w:line="240" w:lineRule="auto" w:before="1" w:after="0"/>
              <w:ind w:left="251" w:right="0" w:hanging="145"/>
              <w:jc w:val="left"/>
              <w:rPr>
                <w:sz w:val="20"/>
              </w:rPr>
            </w:pPr>
            <w:r>
              <w:rPr>
                <w:sz w:val="20"/>
              </w:rPr>
              <w:t>PYME de industria:  5</w:t>
            </w:r>
            <w:r>
              <w:rPr>
                <w:spacing w:val="-15"/>
                <w:sz w:val="20"/>
              </w:rPr>
              <w:t> </w:t>
            </w:r>
            <w:r>
              <w:rPr>
                <w:sz w:val="20"/>
              </w:rPr>
              <w:t>puntos.</w:t>
            </w:r>
          </w:p>
          <w:p>
            <w:pPr>
              <w:pStyle w:val="TableParagraph"/>
              <w:numPr>
                <w:ilvl w:val="0"/>
                <w:numId w:val="5"/>
              </w:numPr>
              <w:tabs>
                <w:tab w:pos="251" w:val="left" w:leader="none"/>
              </w:tabs>
              <w:spacing w:line="240" w:lineRule="auto" w:before="0" w:after="0"/>
              <w:ind w:left="251" w:right="0" w:hanging="145"/>
              <w:jc w:val="left"/>
              <w:rPr>
                <w:sz w:val="20"/>
              </w:rPr>
            </w:pPr>
            <w:r>
              <w:rPr>
                <w:sz w:val="20"/>
              </w:rPr>
              <w:t>PYME de servicio:    5</w:t>
            </w:r>
            <w:r>
              <w:rPr>
                <w:spacing w:val="-15"/>
                <w:sz w:val="20"/>
              </w:rPr>
              <w:t> </w:t>
            </w:r>
            <w:r>
              <w:rPr>
                <w:sz w:val="20"/>
              </w:rPr>
              <w:t>puntos.</w:t>
            </w:r>
          </w:p>
          <w:p>
            <w:pPr>
              <w:pStyle w:val="TableParagraph"/>
              <w:numPr>
                <w:ilvl w:val="0"/>
                <w:numId w:val="5"/>
              </w:numPr>
              <w:tabs>
                <w:tab w:pos="251" w:val="left" w:leader="none"/>
              </w:tabs>
              <w:spacing w:line="240" w:lineRule="auto" w:before="0" w:after="0"/>
              <w:ind w:left="251" w:right="0" w:hanging="145"/>
              <w:jc w:val="left"/>
              <w:rPr>
                <w:sz w:val="20"/>
              </w:rPr>
            </w:pPr>
            <w:r>
              <w:rPr>
                <w:sz w:val="20"/>
              </w:rPr>
              <w:t>PYME de comercio: 2</w:t>
            </w:r>
            <w:r>
              <w:rPr>
                <w:spacing w:val="-14"/>
                <w:sz w:val="20"/>
              </w:rPr>
              <w:t> </w:t>
            </w:r>
            <w:r>
              <w:rPr>
                <w:sz w:val="20"/>
              </w:rPr>
              <w:t>puntos.</w:t>
            </w:r>
          </w:p>
          <w:p>
            <w:pPr>
              <w:pStyle w:val="TableParagraph"/>
              <w:spacing w:before="10"/>
              <w:rPr>
                <w:rFonts w:ascii="Times New Roman"/>
                <w:sz w:val="23"/>
              </w:rPr>
            </w:pPr>
          </w:p>
          <w:p>
            <w:pPr>
              <w:pStyle w:val="TableParagraph"/>
              <w:spacing w:before="1"/>
              <w:ind w:left="106" w:right="95"/>
              <w:jc w:val="both"/>
              <w:rPr>
                <w:sz w:val="20"/>
              </w:rPr>
            </w:pPr>
            <w:r>
              <w:rPr>
                <w:sz w:val="20"/>
              </w:rPr>
              <w:t>En caso de mantenerse la condición de empate, ganará la plica que ofrezca un período mayor de garantía sobre el objeto ofertado. Si persiste el empate tendrá primacía quien presente un menor plazo de entrega. De persistir la condición de empate, como último criterio de desempate, se recurrirá a efectuar un sorteo en la Administración Regional de Puntarenas, el cual será convocado oportunamente.</w:t>
            </w:r>
          </w:p>
          <w:p>
            <w:pPr>
              <w:pStyle w:val="TableParagraph"/>
              <w:rPr>
                <w:rFonts w:ascii="Times New Roman"/>
                <w:sz w:val="20"/>
              </w:rPr>
            </w:pPr>
          </w:p>
          <w:p>
            <w:pPr>
              <w:pStyle w:val="TableParagraph"/>
              <w:spacing w:before="10"/>
              <w:rPr>
                <w:rFonts w:ascii="Times New Roman"/>
                <w:sz w:val="27"/>
              </w:rPr>
            </w:pPr>
          </w:p>
          <w:p>
            <w:pPr>
              <w:pStyle w:val="TableParagraph"/>
              <w:spacing w:before="1"/>
              <w:ind w:left="106"/>
              <w:rPr>
                <w:sz w:val="20"/>
              </w:rPr>
            </w:pPr>
            <w:r>
              <w:rPr>
                <w:b/>
                <w:spacing w:val="-3"/>
                <w:sz w:val="20"/>
              </w:rPr>
              <w:t>3) </w:t>
            </w:r>
            <w:r>
              <w:rPr>
                <w:sz w:val="20"/>
              </w:rPr>
              <w:t>En caso </w:t>
            </w:r>
            <w:r>
              <w:rPr>
                <w:spacing w:val="-3"/>
                <w:sz w:val="20"/>
              </w:rPr>
              <w:t>de empate </w:t>
            </w:r>
            <w:r>
              <w:rPr>
                <w:sz w:val="20"/>
              </w:rPr>
              <w:t>entre </w:t>
            </w:r>
            <w:r>
              <w:rPr>
                <w:spacing w:val="-3"/>
                <w:sz w:val="20"/>
              </w:rPr>
              <w:t>dos </w:t>
            </w:r>
            <w:r>
              <w:rPr>
                <w:sz w:val="20"/>
              </w:rPr>
              <w:t>o </w:t>
            </w:r>
            <w:r>
              <w:rPr>
                <w:spacing w:val="-3"/>
                <w:sz w:val="20"/>
              </w:rPr>
              <w:t>más oferentes </w:t>
            </w:r>
            <w:r>
              <w:rPr>
                <w:sz w:val="20"/>
              </w:rPr>
              <w:t>con </w:t>
            </w:r>
            <w:r>
              <w:rPr>
                <w:b/>
                <w:spacing w:val="-3"/>
                <w:sz w:val="20"/>
              </w:rPr>
              <w:t>condición </w:t>
            </w:r>
            <w:r>
              <w:rPr>
                <w:b/>
                <w:sz w:val="20"/>
              </w:rPr>
              <w:t>NO PYME</w:t>
            </w:r>
            <w:r>
              <w:rPr>
                <w:sz w:val="20"/>
              </w:rPr>
              <w:t>, </w:t>
            </w:r>
            <w:r>
              <w:rPr>
                <w:spacing w:val="-3"/>
                <w:sz w:val="20"/>
              </w:rPr>
              <w:t>los criterios que </w:t>
            </w:r>
            <w:r>
              <w:rPr>
                <w:sz w:val="20"/>
              </w:rPr>
              <w:t>por su orden se seguirán para determinar el o la </w:t>
            </w:r>
            <w:r>
              <w:rPr>
                <w:spacing w:val="-3"/>
                <w:sz w:val="20"/>
              </w:rPr>
              <w:t>adjudicatario(a) </w:t>
            </w:r>
            <w:r>
              <w:rPr>
                <w:sz w:val="20"/>
              </w:rPr>
              <w:t>serán</w:t>
            </w:r>
            <w:r>
              <w:rPr>
                <w:spacing w:val="-3"/>
                <w:sz w:val="20"/>
              </w:rPr>
              <w:t> los siguientes:</w:t>
            </w:r>
          </w:p>
          <w:p>
            <w:pPr>
              <w:pStyle w:val="TableParagraph"/>
              <w:spacing w:before="11"/>
              <w:rPr>
                <w:rFonts w:ascii="Times New Roman"/>
                <w:sz w:val="23"/>
              </w:rPr>
            </w:pPr>
          </w:p>
          <w:p>
            <w:pPr>
              <w:pStyle w:val="TableParagraph"/>
              <w:spacing w:line="516" w:lineRule="auto"/>
              <w:ind w:left="106" w:right="2079"/>
              <w:rPr>
                <w:sz w:val="20"/>
              </w:rPr>
            </w:pPr>
            <w:r>
              <w:rPr>
                <w:spacing w:val="-3"/>
                <w:sz w:val="20"/>
              </w:rPr>
              <w:t>Tendrá primacía </w:t>
            </w:r>
            <w:r>
              <w:rPr>
                <w:sz w:val="20"/>
              </w:rPr>
              <w:t>la </w:t>
            </w:r>
            <w:r>
              <w:rPr>
                <w:spacing w:val="-3"/>
                <w:sz w:val="20"/>
              </w:rPr>
              <w:t>plica que ofrezca </w:t>
            </w:r>
            <w:r>
              <w:rPr>
                <w:sz w:val="20"/>
              </w:rPr>
              <w:t>un período mayor </w:t>
            </w:r>
            <w:r>
              <w:rPr>
                <w:spacing w:val="-3"/>
                <w:sz w:val="20"/>
              </w:rPr>
              <w:t>de garantía </w:t>
            </w:r>
            <w:r>
              <w:rPr>
                <w:sz w:val="20"/>
              </w:rPr>
              <w:t>sobre el </w:t>
            </w:r>
            <w:r>
              <w:rPr>
                <w:spacing w:val="-3"/>
                <w:sz w:val="20"/>
              </w:rPr>
              <w:t>objeto ofertado. </w:t>
            </w:r>
            <w:r>
              <w:rPr>
                <w:sz w:val="20"/>
              </w:rPr>
              <w:t>Si </w:t>
            </w:r>
            <w:r>
              <w:rPr>
                <w:spacing w:val="-3"/>
                <w:sz w:val="20"/>
              </w:rPr>
              <w:t>persiste </w:t>
            </w:r>
            <w:r>
              <w:rPr>
                <w:sz w:val="20"/>
              </w:rPr>
              <w:t>el empate </w:t>
            </w:r>
            <w:r>
              <w:rPr>
                <w:spacing w:val="-3"/>
                <w:sz w:val="20"/>
              </w:rPr>
              <w:t>tendrá primacía </w:t>
            </w:r>
            <w:r>
              <w:rPr>
                <w:sz w:val="20"/>
              </w:rPr>
              <w:t>quien </w:t>
            </w:r>
            <w:r>
              <w:rPr>
                <w:spacing w:val="-3"/>
                <w:sz w:val="20"/>
              </w:rPr>
              <w:t>presente </w:t>
            </w:r>
            <w:r>
              <w:rPr>
                <w:sz w:val="20"/>
              </w:rPr>
              <w:t>un menor</w:t>
            </w:r>
            <w:r>
              <w:rPr>
                <w:spacing w:val="-3"/>
                <w:sz w:val="20"/>
              </w:rPr>
              <w:t> plazo de entrega.</w:t>
            </w:r>
          </w:p>
          <w:p>
            <w:pPr>
              <w:pStyle w:val="TableParagraph"/>
              <w:spacing w:line="244" w:lineRule="auto"/>
              <w:ind w:left="106"/>
              <w:rPr>
                <w:sz w:val="20"/>
              </w:rPr>
            </w:pPr>
            <w:r>
              <w:rPr>
                <w:sz w:val="20"/>
              </w:rPr>
              <w:t>De persistir la condición de empate, como último criterio de desempate, se recurrirá a efectuar un sorteo en el Departamento de Proveeduría, el cual será convocado oportunamente.</w:t>
            </w:r>
          </w:p>
          <w:p>
            <w:pPr>
              <w:pStyle w:val="TableParagraph"/>
              <w:rPr>
                <w:rFonts w:ascii="Times New Roman"/>
                <w:sz w:val="20"/>
              </w:rPr>
            </w:pPr>
          </w:p>
          <w:p>
            <w:pPr>
              <w:pStyle w:val="TableParagraph"/>
              <w:spacing w:before="4"/>
              <w:rPr>
                <w:rFonts w:ascii="Times New Roman"/>
                <w:sz w:val="21"/>
              </w:rPr>
            </w:pPr>
          </w:p>
          <w:p>
            <w:pPr>
              <w:pStyle w:val="TableParagraph"/>
              <w:spacing w:before="1"/>
              <w:ind w:left="106"/>
              <w:jc w:val="both"/>
              <w:rPr>
                <w:b/>
                <w:sz w:val="20"/>
              </w:rPr>
            </w:pPr>
            <w:r>
              <w:rPr>
                <w:b/>
                <w:sz w:val="20"/>
              </w:rPr>
              <w:t>Forma de realizar el sorteo:</w:t>
            </w:r>
          </w:p>
          <w:p>
            <w:pPr>
              <w:pStyle w:val="TableParagraph"/>
              <w:ind w:left="107" w:right="91"/>
              <w:jc w:val="both"/>
              <w:rPr>
                <w:sz w:val="20"/>
              </w:rPr>
            </w:pPr>
            <w:r>
              <w:rPr>
                <w:spacing w:val="-3"/>
                <w:sz w:val="20"/>
              </w:rPr>
              <w:t>La Administración Regional de Puntarenas </w:t>
            </w:r>
            <w:r>
              <w:rPr>
                <w:sz w:val="20"/>
              </w:rPr>
              <w:t>convocará a </w:t>
            </w:r>
            <w:r>
              <w:rPr>
                <w:spacing w:val="-3"/>
                <w:sz w:val="20"/>
              </w:rPr>
              <w:t>los oferentes que </w:t>
            </w:r>
            <w:r>
              <w:rPr>
                <w:sz w:val="20"/>
              </w:rPr>
              <w:t>mantuvieron </w:t>
            </w:r>
            <w:r>
              <w:rPr>
                <w:spacing w:val="-3"/>
                <w:sz w:val="20"/>
              </w:rPr>
              <w:t>la </w:t>
            </w:r>
            <w:r>
              <w:rPr>
                <w:spacing w:val="-2"/>
                <w:sz w:val="20"/>
              </w:rPr>
              <w:t>condición </w:t>
            </w:r>
            <w:r>
              <w:rPr>
                <w:spacing w:val="-3"/>
                <w:sz w:val="20"/>
              </w:rPr>
              <w:t>de empate </w:t>
            </w:r>
            <w:r>
              <w:rPr>
                <w:sz w:val="20"/>
              </w:rPr>
              <w:t>y </w:t>
            </w:r>
            <w:r>
              <w:rPr>
                <w:spacing w:val="-3"/>
                <w:sz w:val="20"/>
              </w:rPr>
              <w:t>procederá </w:t>
            </w:r>
            <w:r>
              <w:rPr>
                <w:sz w:val="20"/>
              </w:rPr>
              <w:t>a </w:t>
            </w:r>
            <w:r>
              <w:rPr>
                <w:spacing w:val="-3"/>
                <w:sz w:val="20"/>
              </w:rPr>
              <w:t>realizar un </w:t>
            </w:r>
            <w:r>
              <w:rPr>
                <w:sz w:val="20"/>
              </w:rPr>
              <w:t>sorteo en </w:t>
            </w:r>
            <w:r>
              <w:rPr>
                <w:spacing w:val="-3"/>
                <w:sz w:val="20"/>
              </w:rPr>
              <w:t>presencia </w:t>
            </w:r>
            <w:r>
              <w:rPr>
                <w:sz w:val="20"/>
              </w:rPr>
              <w:t>de </w:t>
            </w:r>
            <w:r>
              <w:rPr>
                <w:spacing w:val="-3"/>
                <w:sz w:val="20"/>
              </w:rPr>
              <w:t>quienes </w:t>
            </w:r>
            <w:r>
              <w:rPr>
                <w:sz w:val="20"/>
              </w:rPr>
              <w:t>quieran </w:t>
            </w:r>
            <w:r>
              <w:rPr>
                <w:spacing w:val="-3"/>
                <w:sz w:val="20"/>
              </w:rPr>
              <w:t>asistir. </w:t>
            </w:r>
            <w:r>
              <w:rPr>
                <w:sz w:val="20"/>
              </w:rPr>
              <w:t>En </w:t>
            </w:r>
            <w:r>
              <w:rPr>
                <w:spacing w:val="-3"/>
                <w:sz w:val="20"/>
              </w:rPr>
              <w:t>este </w:t>
            </w:r>
            <w:r>
              <w:rPr>
                <w:sz w:val="20"/>
              </w:rPr>
              <w:t>sorteo, se </w:t>
            </w:r>
            <w:r>
              <w:rPr>
                <w:spacing w:val="-3"/>
                <w:sz w:val="20"/>
              </w:rPr>
              <w:t>procederá </w:t>
            </w:r>
            <w:r>
              <w:rPr>
                <w:sz w:val="20"/>
              </w:rPr>
              <w:t>a imprimir en </w:t>
            </w:r>
            <w:r>
              <w:rPr>
                <w:spacing w:val="-3"/>
                <w:sz w:val="20"/>
              </w:rPr>
              <w:t>una hoja la palabra </w:t>
            </w:r>
            <w:r>
              <w:rPr>
                <w:sz w:val="20"/>
              </w:rPr>
              <w:t>“Ganador”, </w:t>
            </w:r>
            <w:r>
              <w:rPr>
                <w:spacing w:val="-3"/>
                <w:sz w:val="20"/>
              </w:rPr>
              <w:t>luego esta </w:t>
            </w:r>
            <w:r>
              <w:rPr>
                <w:sz w:val="20"/>
              </w:rPr>
              <w:t>impresión se </w:t>
            </w:r>
            <w:r>
              <w:rPr>
                <w:spacing w:val="-3"/>
                <w:sz w:val="20"/>
              </w:rPr>
              <w:t>recortará </w:t>
            </w:r>
            <w:r>
              <w:rPr>
                <w:sz w:val="20"/>
              </w:rPr>
              <w:t>y </w:t>
            </w:r>
            <w:r>
              <w:rPr>
                <w:spacing w:val="-3"/>
                <w:sz w:val="20"/>
              </w:rPr>
              <w:t>seguidamente </w:t>
            </w:r>
            <w:r>
              <w:rPr>
                <w:sz w:val="20"/>
              </w:rPr>
              <w:t>se recortarán del mismo tamaño del primer </w:t>
            </w:r>
            <w:r>
              <w:rPr>
                <w:spacing w:val="-3"/>
                <w:sz w:val="20"/>
              </w:rPr>
              <w:t>recorte, </w:t>
            </w:r>
            <w:r>
              <w:rPr>
                <w:sz w:val="20"/>
              </w:rPr>
              <w:t>trozos en blanco </w:t>
            </w:r>
            <w:r>
              <w:rPr>
                <w:spacing w:val="-3"/>
                <w:sz w:val="20"/>
              </w:rPr>
              <w:t>de </w:t>
            </w:r>
            <w:r>
              <w:rPr>
                <w:sz w:val="20"/>
              </w:rPr>
              <w:t>la misma hoja </w:t>
            </w:r>
            <w:r>
              <w:rPr>
                <w:spacing w:val="-3"/>
                <w:sz w:val="20"/>
              </w:rPr>
              <w:t>los cuales </w:t>
            </w:r>
            <w:r>
              <w:rPr>
                <w:sz w:val="20"/>
              </w:rPr>
              <w:t>representan a </w:t>
            </w:r>
            <w:r>
              <w:rPr>
                <w:spacing w:val="-3"/>
                <w:sz w:val="20"/>
              </w:rPr>
              <w:t>los oferentes que </w:t>
            </w:r>
            <w:r>
              <w:rPr>
                <w:spacing w:val="-2"/>
                <w:sz w:val="20"/>
              </w:rPr>
              <w:t>fueron </w:t>
            </w:r>
            <w:r>
              <w:rPr>
                <w:spacing w:val="-3"/>
                <w:sz w:val="20"/>
              </w:rPr>
              <w:t>convocados </w:t>
            </w:r>
            <w:r>
              <w:rPr>
                <w:sz w:val="20"/>
              </w:rPr>
              <w:t>al sorteo; </w:t>
            </w:r>
            <w:r>
              <w:rPr>
                <w:spacing w:val="-3"/>
                <w:sz w:val="20"/>
              </w:rPr>
              <w:t>seguidamente </w:t>
            </w:r>
            <w:r>
              <w:rPr>
                <w:sz w:val="20"/>
              </w:rPr>
              <w:t>entre </w:t>
            </w:r>
            <w:r>
              <w:rPr>
                <w:spacing w:val="-3"/>
                <w:sz w:val="20"/>
              </w:rPr>
              <w:t>los representantes que </w:t>
            </w:r>
            <w:r>
              <w:rPr>
                <w:sz w:val="20"/>
              </w:rPr>
              <w:t>asistan se </w:t>
            </w:r>
            <w:r>
              <w:rPr>
                <w:spacing w:val="-3"/>
                <w:sz w:val="20"/>
              </w:rPr>
              <w:t>realizará </w:t>
            </w:r>
            <w:r>
              <w:rPr>
                <w:sz w:val="20"/>
              </w:rPr>
              <w:t>el </w:t>
            </w:r>
            <w:r>
              <w:rPr>
                <w:spacing w:val="-3"/>
                <w:sz w:val="20"/>
              </w:rPr>
              <w:t>sorteo.</w:t>
            </w:r>
          </w:p>
          <w:p>
            <w:pPr>
              <w:pStyle w:val="TableParagraph"/>
              <w:spacing w:before="1"/>
              <w:rPr>
                <w:rFonts w:ascii="Times New Roman"/>
                <w:sz w:val="21"/>
              </w:rPr>
            </w:pPr>
          </w:p>
          <w:p>
            <w:pPr>
              <w:pStyle w:val="TableParagraph"/>
              <w:ind w:left="106" w:right="89"/>
              <w:jc w:val="both"/>
              <w:rPr>
                <w:sz w:val="20"/>
              </w:rPr>
            </w:pPr>
            <w:r>
              <w:rPr>
                <w:sz w:val="20"/>
              </w:rPr>
              <w:t>En caso de </w:t>
            </w:r>
            <w:r>
              <w:rPr>
                <w:spacing w:val="-3"/>
                <w:sz w:val="20"/>
              </w:rPr>
              <w:t>ausencia de </w:t>
            </w:r>
            <w:r>
              <w:rPr>
                <w:sz w:val="20"/>
              </w:rPr>
              <w:t>algún </w:t>
            </w:r>
            <w:r>
              <w:rPr>
                <w:spacing w:val="-3"/>
                <w:sz w:val="20"/>
              </w:rPr>
              <w:t>oferente convocado, </w:t>
            </w:r>
            <w:r>
              <w:rPr>
                <w:sz w:val="20"/>
              </w:rPr>
              <w:t>éste se sustituirá con personal de </w:t>
            </w:r>
            <w:r>
              <w:rPr>
                <w:spacing w:val="-3"/>
                <w:sz w:val="20"/>
              </w:rPr>
              <w:t>la </w:t>
            </w:r>
            <w:r>
              <w:rPr>
                <w:sz w:val="20"/>
              </w:rPr>
              <w:t>Administración Regional de </w:t>
            </w:r>
            <w:r>
              <w:rPr>
                <w:spacing w:val="-3"/>
                <w:sz w:val="20"/>
              </w:rPr>
              <w:t>Puntarenas </w:t>
            </w:r>
            <w:r>
              <w:rPr>
                <w:sz w:val="20"/>
              </w:rPr>
              <w:t>quien lo </w:t>
            </w:r>
            <w:r>
              <w:rPr>
                <w:spacing w:val="-3"/>
                <w:sz w:val="20"/>
              </w:rPr>
              <w:t>representará </w:t>
            </w:r>
            <w:r>
              <w:rPr>
                <w:sz w:val="20"/>
              </w:rPr>
              <w:t>en </w:t>
            </w:r>
            <w:r>
              <w:rPr>
                <w:spacing w:val="-3"/>
                <w:sz w:val="20"/>
              </w:rPr>
              <w:t>este </w:t>
            </w:r>
            <w:r>
              <w:rPr>
                <w:sz w:val="20"/>
              </w:rPr>
              <w:t>sorteo, por lo </w:t>
            </w:r>
            <w:r>
              <w:rPr>
                <w:spacing w:val="-3"/>
                <w:sz w:val="20"/>
              </w:rPr>
              <w:t>que un representante </w:t>
            </w:r>
            <w:r>
              <w:rPr>
                <w:sz w:val="20"/>
              </w:rPr>
              <w:t>de cada </w:t>
            </w:r>
            <w:r>
              <w:rPr>
                <w:spacing w:val="-3"/>
                <w:sz w:val="20"/>
              </w:rPr>
              <w:t>oferente </w:t>
            </w:r>
            <w:r>
              <w:rPr>
                <w:sz w:val="20"/>
              </w:rPr>
              <w:t>sacará </w:t>
            </w:r>
            <w:r>
              <w:rPr>
                <w:spacing w:val="-3"/>
                <w:sz w:val="20"/>
              </w:rPr>
              <w:t>de </w:t>
            </w:r>
            <w:r>
              <w:rPr>
                <w:sz w:val="20"/>
              </w:rPr>
              <w:t>la </w:t>
            </w:r>
            <w:r>
              <w:rPr>
                <w:spacing w:val="-3"/>
                <w:sz w:val="20"/>
              </w:rPr>
              <w:t>bolsa </w:t>
            </w:r>
            <w:r>
              <w:rPr>
                <w:sz w:val="20"/>
              </w:rPr>
              <w:t>un trozo </w:t>
            </w:r>
            <w:r>
              <w:rPr>
                <w:spacing w:val="-3"/>
                <w:sz w:val="20"/>
              </w:rPr>
              <w:t>de papel, resultando </w:t>
            </w:r>
            <w:r>
              <w:rPr>
                <w:sz w:val="20"/>
              </w:rPr>
              <w:t>adjudicatario(a) aquel </w:t>
            </w:r>
            <w:r>
              <w:rPr>
                <w:spacing w:val="-3"/>
                <w:sz w:val="20"/>
              </w:rPr>
              <w:t>que </w:t>
            </w:r>
            <w:r>
              <w:rPr>
                <w:sz w:val="20"/>
              </w:rPr>
              <w:t>saque el trozo </w:t>
            </w:r>
            <w:r>
              <w:rPr>
                <w:spacing w:val="-3"/>
                <w:sz w:val="20"/>
              </w:rPr>
              <w:t>de </w:t>
            </w:r>
            <w:r>
              <w:rPr>
                <w:sz w:val="20"/>
              </w:rPr>
              <w:t>papel con la </w:t>
            </w:r>
            <w:r>
              <w:rPr>
                <w:spacing w:val="-3"/>
                <w:sz w:val="20"/>
              </w:rPr>
              <w:t>palabra “Ganador”.</w:t>
            </w:r>
          </w:p>
        </w:tc>
      </w:tr>
    </w:tbl>
    <w:p>
      <w:pPr>
        <w:spacing w:after="0"/>
        <w:jc w:val="both"/>
        <w:rPr>
          <w:sz w:val="20"/>
        </w:rPr>
        <w:sectPr>
          <w:pgSz w:w="12240" w:h="15840"/>
          <w:pgMar w:header="0" w:footer="0" w:top="1040" w:bottom="280" w:left="260" w:right="0"/>
        </w:sectPr>
      </w:pPr>
    </w:p>
    <w:p>
      <w:pPr>
        <w:pStyle w:val="BodyText"/>
        <w:spacing w:before="6"/>
        <w:rPr>
          <w:rFonts w:ascii="Times New Roman"/>
          <w:sz w:val="7"/>
        </w:rPr>
      </w:pPr>
    </w:p>
    <w:p>
      <w:pPr>
        <w:pStyle w:val="BodyText"/>
        <w:ind w:left="1864"/>
        <w:rPr>
          <w:rFonts w:ascii="Times New Roman"/>
        </w:rPr>
      </w:pPr>
      <w:r>
        <w:rPr>
          <w:rFonts w:ascii="Times New Roman"/>
        </w:rPr>
        <w:pict>
          <v:shape style="width:474.8pt;height:38.4pt;mso-position-horizontal-relative:char;mso-position-vertical-relative:line" type="#_x0000_t202" filled="false" stroked="true" strokeweight=".4pt" strokecolor="#000000">
            <w10:anchorlock/>
            <v:textbox inset="0,0,0,0">
              <w:txbxContent>
                <w:p>
                  <w:pPr>
                    <w:pStyle w:val="BodyText"/>
                    <w:spacing w:before="5"/>
                    <w:ind w:left="103"/>
                  </w:pPr>
                  <w:r>
                    <w:rPr/>
                    <w:t>De esto sorteo se levantará un acta que será suscrita por los asistentes al evento, y posteriormente se adoptará el acto de adjudicación.</w:t>
                  </w:r>
                </w:p>
              </w:txbxContent>
            </v:textbox>
            <v:stroke dashstyle="solid"/>
          </v:shape>
        </w:pict>
      </w:r>
      <w:r>
        <w:rPr>
          <w:rFonts w:ascii="Times New Roman"/>
        </w:rPr>
      </w:r>
    </w:p>
    <w:p>
      <w:pPr>
        <w:pStyle w:val="BodyText"/>
        <w:rPr>
          <w:rFonts w:ascii="Times New Roman"/>
        </w:rPr>
      </w:pPr>
    </w:p>
    <w:p>
      <w:pPr>
        <w:pStyle w:val="BodyText"/>
        <w:rPr>
          <w:rFonts w:ascii="Times New Roman"/>
        </w:rPr>
      </w:pPr>
    </w:p>
    <w:p>
      <w:pPr>
        <w:pStyle w:val="BodyText"/>
        <w:spacing w:before="11"/>
        <w:rPr>
          <w:rFonts w:ascii="Times New Roman"/>
          <w:sz w:val="15"/>
        </w:rPr>
      </w:pPr>
    </w:p>
    <w:p>
      <w:pPr>
        <w:spacing w:before="60"/>
        <w:ind w:left="4848" w:right="5292" w:hanging="5"/>
        <w:jc w:val="center"/>
        <w:rPr>
          <w:b/>
          <w:sz w:val="20"/>
        </w:rPr>
      </w:pPr>
      <w:r>
        <w:rPr/>
        <w:pict>
          <v:line style="position:absolute;mso-position-horizontal-relative:page;mso-position-vertical-relative:paragraph;z-index:251672576" from="28.4pt,-72.478493pt" to="28.4pt,-33.678493pt" stroked="true" strokeweight=".4pt" strokecolor="#000000">
            <v:stroke dashstyle="solid"/>
            <w10:wrap type="none"/>
          </v:line>
        </w:pict>
      </w:r>
      <w:r>
        <w:rPr>
          <w:b/>
          <w:sz w:val="20"/>
        </w:rPr>
        <w:t>Apartado 1 Declaraciones Juradas</w:t>
      </w:r>
    </w:p>
    <w:p>
      <w:pPr>
        <w:pStyle w:val="BodyText"/>
        <w:spacing w:before="8"/>
        <w:rPr>
          <w:b/>
          <w:sz w:val="17"/>
        </w:rPr>
      </w:pPr>
    </w:p>
    <w:p>
      <w:pPr>
        <w:pStyle w:val="BodyText"/>
        <w:spacing w:before="60"/>
        <w:ind w:left="351"/>
      </w:pPr>
      <w:r>
        <w:rPr/>
        <w:t>Declaro bajo juramento:</w:t>
      </w:r>
    </w:p>
    <w:p>
      <w:pPr>
        <w:pStyle w:val="BodyText"/>
      </w:pPr>
    </w:p>
    <w:p>
      <w:pPr>
        <w:pStyle w:val="BodyText"/>
        <w:spacing w:before="11"/>
        <w:rPr>
          <w:sz w:val="19"/>
        </w:rPr>
      </w:pPr>
    </w:p>
    <w:p>
      <w:pPr>
        <w:pStyle w:val="ListParagraph"/>
        <w:numPr>
          <w:ilvl w:val="0"/>
          <w:numId w:val="6"/>
        </w:numPr>
        <w:tabs>
          <w:tab w:pos="556" w:val="left" w:leader="none"/>
        </w:tabs>
        <w:spacing w:line="240" w:lineRule="auto" w:before="1" w:after="0"/>
        <w:ind w:left="307" w:right="761"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25"/>
          <w:sz w:val="20"/>
        </w:rPr>
        <w:t> </w:t>
      </w:r>
      <w:r>
        <w:rPr>
          <w:sz w:val="20"/>
        </w:rPr>
        <w:t>Administrativa.</w:t>
      </w:r>
    </w:p>
    <w:p>
      <w:pPr>
        <w:pStyle w:val="BodyText"/>
        <w:spacing w:before="11"/>
        <w:rPr>
          <w:sz w:val="19"/>
        </w:rPr>
      </w:pPr>
    </w:p>
    <w:p>
      <w:pPr>
        <w:pStyle w:val="ListParagraph"/>
        <w:numPr>
          <w:ilvl w:val="0"/>
          <w:numId w:val="6"/>
        </w:numPr>
        <w:tabs>
          <w:tab w:pos="516" w:val="left" w:leader="none"/>
        </w:tabs>
        <w:spacing w:line="240" w:lineRule="auto" w:before="0" w:after="0"/>
        <w:ind w:left="307" w:right="757"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20"/>
          <w:sz w:val="20"/>
        </w:rPr>
        <w:t> </w:t>
      </w:r>
      <w:r>
        <w:rPr>
          <w:sz w:val="20"/>
        </w:rPr>
        <w:t>Administrativa.</w:t>
      </w:r>
    </w:p>
    <w:p>
      <w:pPr>
        <w:pStyle w:val="BodyText"/>
      </w:pPr>
    </w:p>
    <w:p>
      <w:pPr>
        <w:pStyle w:val="ListParagraph"/>
        <w:numPr>
          <w:ilvl w:val="0"/>
          <w:numId w:val="6"/>
        </w:numPr>
        <w:tabs>
          <w:tab w:pos="524" w:val="left" w:leader="none"/>
        </w:tabs>
        <w:spacing w:line="240" w:lineRule="auto" w:before="0" w:after="0"/>
        <w:ind w:left="307" w:right="759"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15"/>
          <w:sz w:val="20"/>
        </w:rPr>
        <w:t> </w:t>
      </w:r>
      <w:r>
        <w:rPr>
          <w:sz w:val="20"/>
        </w:rPr>
        <w:t>Administrativa.</w:t>
      </w:r>
    </w:p>
    <w:p>
      <w:pPr>
        <w:pStyle w:val="BodyText"/>
        <w:spacing w:before="12"/>
        <w:rPr>
          <w:sz w:val="19"/>
        </w:rPr>
      </w:pPr>
    </w:p>
    <w:p>
      <w:pPr>
        <w:pStyle w:val="ListParagraph"/>
        <w:numPr>
          <w:ilvl w:val="0"/>
          <w:numId w:val="6"/>
        </w:numPr>
        <w:tabs>
          <w:tab w:pos="521" w:val="left" w:leader="none"/>
        </w:tabs>
        <w:spacing w:line="240" w:lineRule="auto" w:before="0" w:after="0"/>
        <w:ind w:left="307" w:right="758"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1"/>
          <w:sz w:val="20"/>
        </w:rPr>
        <w:t> </w:t>
      </w:r>
      <w:r>
        <w:rPr>
          <w:sz w:val="20"/>
        </w:rPr>
        <w:t>Pública”.</w:t>
      </w:r>
    </w:p>
    <w:p>
      <w:pPr>
        <w:pStyle w:val="BodyText"/>
        <w:spacing w:before="11"/>
        <w:rPr>
          <w:sz w:val="19"/>
        </w:rPr>
      </w:pPr>
    </w:p>
    <w:p>
      <w:pPr>
        <w:pStyle w:val="ListParagraph"/>
        <w:numPr>
          <w:ilvl w:val="0"/>
          <w:numId w:val="6"/>
        </w:numPr>
        <w:tabs>
          <w:tab w:pos="488" w:val="left" w:leader="none"/>
        </w:tabs>
        <w:spacing w:line="240" w:lineRule="auto" w:before="0" w:after="0"/>
        <w:ind w:left="307" w:right="759" w:firstLine="0"/>
        <w:jc w:val="both"/>
        <w:rPr>
          <w:sz w:val="20"/>
        </w:rPr>
      </w:pPr>
      <w:r>
        <w:rPr>
          <w:sz w:val="20"/>
        </w:rPr>
        <w:t>Declaro que mi representada cuenta con la suficiente solvencia económica para atender y soportar el negocio que oferta en caso de resultar adjudicatario o</w:t>
      </w:r>
      <w:r>
        <w:rPr>
          <w:spacing w:val="-7"/>
          <w:sz w:val="20"/>
        </w:rPr>
        <w:t> </w:t>
      </w:r>
      <w:r>
        <w:rPr>
          <w:sz w:val="20"/>
        </w:rPr>
        <w:t>adjudicataria.</w:t>
      </w:r>
    </w:p>
    <w:p>
      <w:pPr>
        <w:pStyle w:val="BodyText"/>
      </w:pPr>
    </w:p>
    <w:p>
      <w:pPr>
        <w:pStyle w:val="ListParagraph"/>
        <w:numPr>
          <w:ilvl w:val="0"/>
          <w:numId w:val="6"/>
        </w:numPr>
        <w:tabs>
          <w:tab w:pos="548" w:val="left" w:leader="none"/>
        </w:tabs>
        <w:spacing w:line="240" w:lineRule="auto" w:before="0" w:after="0"/>
        <w:ind w:left="307" w:right="759" w:firstLine="0"/>
        <w:jc w:val="both"/>
        <w:rPr>
          <w:sz w:val="20"/>
        </w:rPr>
      </w:pPr>
      <w:r>
        <w:rPr>
          <w:sz w:val="20"/>
        </w:rPr>
        <w:t>Declaro que acepto y cumpliré fielmente con las condiciones, requerimientos, especificaciones y requisitos técnicos de esta contratación.</w:t>
      </w:r>
    </w:p>
    <w:p>
      <w:pPr>
        <w:pStyle w:val="BodyText"/>
        <w:spacing w:before="12"/>
        <w:rPr>
          <w:sz w:val="19"/>
        </w:rPr>
      </w:pPr>
    </w:p>
    <w:p>
      <w:pPr>
        <w:pStyle w:val="ListParagraph"/>
        <w:numPr>
          <w:ilvl w:val="0"/>
          <w:numId w:val="6"/>
        </w:numPr>
        <w:tabs>
          <w:tab w:pos="512" w:val="left" w:leader="none"/>
        </w:tabs>
        <w:spacing w:line="240" w:lineRule="auto" w:before="0" w:after="0"/>
        <w:ind w:left="307" w:right="761" w:firstLine="0"/>
        <w:jc w:val="both"/>
        <w:rPr>
          <w:sz w:val="20"/>
        </w:rPr>
      </w:pPr>
      <w:r>
        <w:rPr>
          <w:sz w:val="20"/>
        </w:rPr>
        <w:t>Que el personal propuesto para la realización del proyecto no tiene ningún asunto judicial en trámite en los despachos en los </w:t>
      </w:r>
      <w:r>
        <w:rPr>
          <w:spacing w:val="-2"/>
          <w:sz w:val="20"/>
        </w:rPr>
        <w:t>que </w:t>
      </w:r>
      <w:r>
        <w:rPr>
          <w:sz w:val="20"/>
        </w:rPr>
        <w:t>está realizando las labores de los trabajos que se estarán</w:t>
      </w:r>
      <w:r>
        <w:rPr>
          <w:spacing w:val="-2"/>
          <w:sz w:val="20"/>
        </w:rPr>
        <w:t> </w:t>
      </w:r>
      <w:r>
        <w:rPr>
          <w:sz w:val="20"/>
        </w:rPr>
        <w:t>contratando.</w:t>
      </w:r>
    </w:p>
    <w:p>
      <w:pPr>
        <w:pStyle w:val="BodyText"/>
      </w:pPr>
    </w:p>
    <w:p>
      <w:pPr>
        <w:pStyle w:val="BodyText"/>
        <w:spacing w:before="3"/>
      </w:pPr>
    </w:p>
    <w:p>
      <w:pPr>
        <w:pStyle w:val="Heading4"/>
      </w:pPr>
      <w:r>
        <w:rPr/>
        <w:t>Nombre y firma del o la oferente o su Representante legal:</w:t>
      </w:r>
    </w:p>
    <w:p>
      <w:pPr>
        <w:pStyle w:val="BodyText"/>
        <w:rPr>
          <w:b/>
        </w:rPr>
      </w:pPr>
    </w:p>
    <w:p>
      <w:pPr>
        <w:pStyle w:val="BodyText"/>
        <w:rPr>
          <w:b/>
        </w:rPr>
      </w:pPr>
    </w:p>
    <w:p>
      <w:pPr>
        <w:pStyle w:val="BodyText"/>
        <w:spacing w:before="1"/>
        <w:rPr>
          <w:b/>
          <w:sz w:val="15"/>
        </w:rPr>
      </w:pPr>
    </w:p>
    <w:p>
      <w:pPr>
        <w:tabs>
          <w:tab w:pos="8543" w:val="left" w:leader="none"/>
        </w:tabs>
        <w:spacing w:before="60"/>
        <w:ind w:left="5971" w:right="0" w:firstLine="0"/>
        <w:jc w:val="left"/>
        <w:rPr>
          <w:sz w:val="20"/>
        </w:rPr>
      </w:pPr>
      <w:r>
        <w:rPr/>
        <w:pict>
          <v:group style="position:absolute;margin-left:35pt;margin-top:-16.078516pt;width:189.6pt;height:42.05pt;mso-position-horizontal-relative:page;mso-position-vertical-relative:paragraph;z-index:251671552" coordorigin="700,-322" coordsize="3792,841">
            <v:shape style="position:absolute;left:1729;top:-322;width:1589;height:841" type="#_x0000_t75" alt="þÿ" stroked="false">
              <v:imagedata r:id="rId18" o:title=""/>
            </v:shape>
            <v:line style="position:absolute" from="700,280" to="4492,280" stroked="true" strokeweight=".649375pt" strokecolor="#000000">
              <v:stroke dashstyle="solid"/>
            </v:line>
            <w10:wrap type="none"/>
          </v:group>
        </w:pict>
      </w:r>
      <w:r>
        <w:rPr>
          <w:b/>
          <w:sz w:val="20"/>
        </w:rPr>
        <w:t>Fecha:</w:t>
      </w:r>
      <w:r>
        <w:rPr>
          <w:b/>
          <w:spacing w:val="-11"/>
          <w:sz w:val="20"/>
        </w:rPr>
        <w:t> </w:t>
      </w:r>
      <w:r>
        <w:rPr>
          <w:sz w:val="20"/>
          <w:u w:val="single"/>
        </w:rPr>
        <w:t>_12-Mayo-2020</w:t>
        <w:tab/>
      </w:r>
    </w:p>
    <w:p>
      <w:pPr>
        <w:pStyle w:val="BodyText"/>
      </w:pPr>
    </w:p>
    <w:p>
      <w:pPr>
        <w:pStyle w:val="BodyText"/>
        <w:spacing w:before="1"/>
        <w:rPr>
          <w:sz w:val="15"/>
        </w:rPr>
      </w:pPr>
    </w:p>
    <w:p>
      <w:pPr>
        <w:pStyle w:val="Heading4"/>
        <w:spacing w:before="59"/>
      </w:pPr>
      <w:r>
        <w:rPr>
          <w:shd w:fill="00FF00" w:color="auto" w:val="clear"/>
        </w:rPr>
        <w:t>stración Regional de Puntarenas</w:t>
      </w:r>
    </w:p>
    <w:sectPr>
      <w:pgSz w:w="12240" w:h="15840"/>
      <w:pgMar w:header="0" w:footer="0" w:top="1040" w:bottom="280" w:left="2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pt;width:530.8pt;height:53.6pt;mso-position-horizontal-relative:page;mso-position-vertical-relative:page;z-index:-252423168" coordorigin="0,0" coordsize="10616,1072">
          <v:shape style="position:absolute;left:0;top:0;width:10616;height:352" type="#_x0000_t75" stroked="false">
            <v:imagedata r:id="rId1" o:title=""/>
          </v:shape>
          <v:shape style="position:absolute;left:8573;top:289;width:697;height:782"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193.604004pt;margin-top:23.203987pt;width:198.6pt;height:28.65pt;mso-position-horizontal-relative:page;mso-position-vertical-relative:page;z-index:-252422144" type="#_x0000_t202" filled="false" stroked="false">
          <v:textbox inset="0,0,0,0">
            <w:txbxContent>
              <w:p>
                <w:pPr>
                  <w:spacing w:line="264" w:lineRule="exact" w:before="0"/>
                  <w:ind w:left="7" w:right="1" w:firstLine="0"/>
                  <w:jc w:val="center"/>
                  <w:rPr>
                    <w:b/>
                    <w:sz w:val="24"/>
                  </w:rPr>
                </w:pPr>
                <w:r>
                  <w:rPr>
                    <w:b/>
                    <w:sz w:val="24"/>
                  </w:rPr>
                  <w:t>PODER JUDICIAL</w:t>
                </w:r>
              </w:p>
              <w:p>
                <w:pPr>
                  <w:spacing w:line="293" w:lineRule="exact" w:before="0"/>
                  <w:ind w:left="1" w:right="1" w:firstLine="0"/>
                  <w:jc w:val="center"/>
                  <w:rPr>
                    <w:b/>
                    <w:sz w:val="24"/>
                  </w:rPr>
                </w:pPr>
                <w:r>
                  <w:rPr>
                    <w:b/>
                    <w:sz w:val="24"/>
                  </w:rPr>
                  <w:t>Administración Regional de Puntarenas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95360">
          <wp:simplePos x="0" y="0"/>
          <wp:positionH relativeFrom="page">
            <wp:posOffset>0</wp:posOffset>
          </wp:positionH>
          <wp:positionV relativeFrom="page">
            <wp:posOffset>0</wp:posOffset>
          </wp:positionV>
          <wp:extent cx="7402534" cy="459219"/>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7402534" cy="45921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08" w:hanging="248"/>
        <w:jc w:val="left"/>
      </w:pPr>
      <w:rPr>
        <w:rFonts w:hint="default" w:ascii="Calibri" w:hAnsi="Calibri" w:eastAsia="Calibri" w:cs="Calibri"/>
        <w:spacing w:val="-4"/>
        <w:w w:val="100"/>
        <w:sz w:val="20"/>
        <w:szCs w:val="20"/>
        <w:lang w:val="es-ES" w:eastAsia="es-ES" w:bidi="es-ES"/>
      </w:rPr>
    </w:lvl>
    <w:lvl w:ilvl="1">
      <w:start w:val="0"/>
      <w:numFmt w:val="bullet"/>
      <w:lvlText w:val="•"/>
      <w:lvlJc w:val="left"/>
      <w:pPr>
        <w:ind w:left="1468" w:hanging="248"/>
      </w:pPr>
      <w:rPr>
        <w:rFonts w:hint="default"/>
        <w:lang w:val="es-ES" w:eastAsia="es-ES" w:bidi="es-ES"/>
      </w:rPr>
    </w:lvl>
    <w:lvl w:ilvl="2">
      <w:start w:val="0"/>
      <w:numFmt w:val="bullet"/>
      <w:lvlText w:val="•"/>
      <w:lvlJc w:val="left"/>
      <w:pPr>
        <w:ind w:left="2636" w:hanging="248"/>
      </w:pPr>
      <w:rPr>
        <w:rFonts w:hint="default"/>
        <w:lang w:val="es-ES" w:eastAsia="es-ES" w:bidi="es-ES"/>
      </w:rPr>
    </w:lvl>
    <w:lvl w:ilvl="3">
      <w:start w:val="0"/>
      <w:numFmt w:val="bullet"/>
      <w:lvlText w:val="•"/>
      <w:lvlJc w:val="left"/>
      <w:pPr>
        <w:ind w:left="3804" w:hanging="248"/>
      </w:pPr>
      <w:rPr>
        <w:rFonts w:hint="default"/>
        <w:lang w:val="es-ES" w:eastAsia="es-ES" w:bidi="es-ES"/>
      </w:rPr>
    </w:lvl>
    <w:lvl w:ilvl="4">
      <w:start w:val="0"/>
      <w:numFmt w:val="bullet"/>
      <w:lvlText w:val="•"/>
      <w:lvlJc w:val="left"/>
      <w:pPr>
        <w:ind w:left="4972" w:hanging="248"/>
      </w:pPr>
      <w:rPr>
        <w:rFonts w:hint="default"/>
        <w:lang w:val="es-ES" w:eastAsia="es-ES" w:bidi="es-ES"/>
      </w:rPr>
    </w:lvl>
    <w:lvl w:ilvl="5">
      <w:start w:val="0"/>
      <w:numFmt w:val="bullet"/>
      <w:lvlText w:val="•"/>
      <w:lvlJc w:val="left"/>
      <w:pPr>
        <w:ind w:left="6140" w:hanging="248"/>
      </w:pPr>
      <w:rPr>
        <w:rFonts w:hint="default"/>
        <w:lang w:val="es-ES" w:eastAsia="es-ES" w:bidi="es-ES"/>
      </w:rPr>
    </w:lvl>
    <w:lvl w:ilvl="6">
      <w:start w:val="0"/>
      <w:numFmt w:val="bullet"/>
      <w:lvlText w:val="•"/>
      <w:lvlJc w:val="left"/>
      <w:pPr>
        <w:ind w:left="7308" w:hanging="248"/>
      </w:pPr>
      <w:rPr>
        <w:rFonts w:hint="default"/>
        <w:lang w:val="es-ES" w:eastAsia="es-ES" w:bidi="es-ES"/>
      </w:rPr>
    </w:lvl>
    <w:lvl w:ilvl="7">
      <w:start w:val="0"/>
      <w:numFmt w:val="bullet"/>
      <w:lvlText w:val="•"/>
      <w:lvlJc w:val="left"/>
      <w:pPr>
        <w:ind w:left="8476" w:hanging="248"/>
      </w:pPr>
      <w:rPr>
        <w:rFonts w:hint="default"/>
        <w:lang w:val="es-ES" w:eastAsia="es-ES" w:bidi="es-ES"/>
      </w:rPr>
    </w:lvl>
    <w:lvl w:ilvl="8">
      <w:start w:val="0"/>
      <w:numFmt w:val="bullet"/>
      <w:lvlText w:val="•"/>
      <w:lvlJc w:val="left"/>
      <w:pPr>
        <w:ind w:left="9644" w:hanging="248"/>
      </w:pPr>
      <w:rPr>
        <w:rFonts w:hint="default"/>
        <w:lang w:val="es-ES" w:eastAsia="es-ES" w:bidi="es-ES"/>
      </w:rPr>
    </w:lvl>
  </w:abstractNum>
  <w:abstractNum w:abstractNumId="4">
    <w:multiLevelType w:val="hybridMultilevel"/>
    <w:lvl w:ilvl="0">
      <w:start w:val="0"/>
      <w:numFmt w:val="bullet"/>
      <w:lvlText w:val="•"/>
      <w:lvlJc w:val="left"/>
      <w:pPr>
        <w:ind w:left="251" w:hanging="144"/>
      </w:pPr>
      <w:rPr>
        <w:rFonts w:hint="default" w:ascii="Calibri" w:hAnsi="Calibri" w:eastAsia="Calibri" w:cs="Calibri"/>
        <w:w w:val="100"/>
        <w:sz w:val="20"/>
        <w:szCs w:val="20"/>
        <w:lang w:val="es-ES" w:eastAsia="es-ES" w:bidi="es-ES"/>
      </w:rPr>
    </w:lvl>
    <w:lvl w:ilvl="1">
      <w:start w:val="0"/>
      <w:numFmt w:val="bullet"/>
      <w:lvlText w:val="•"/>
      <w:lvlJc w:val="left"/>
      <w:pPr>
        <w:ind w:left="1182" w:hanging="144"/>
      </w:pPr>
      <w:rPr>
        <w:rFonts w:hint="default"/>
        <w:lang w:val="es-ES" w:eastAsia="es-ES" w:bidi="es-ES"/>
      </w:rPr>
    </w:lvl>
    <w:lvl w:ilvl="2">
      <w:start w:val="0"/>
      <w:numFmt w:val="bullet"/>
      <w:lvlText w:val="•"/>
      <w:lvlJc w:val="left"/>
      <w:pPr>
        <w:ind w:left="2105" w:hanging="144"/>
      </w:pPr>
      <w:rPr>
        <w:rFonts w:hint="default"/>
        <w:lang w:val="es-ES" w:eastAsia="es-ES" w:bidi="es-ES"/>
      </w:rPr>
    </w:lvl>
    <w:lvl w:ilvl="3">
      <w:start w:val="0"/>
      <w:numFmt w:val="bullet"/>
      <w:lvlText w:val="•"/>
      <w:lvlJc w:val="left"/>
      <w:pPr>
        <w:ind w:left="3027" w:hanging="144"/>
      </w:pPr>
      <w:rPr>
        <w:rFonts w:hint="default"/>
        <w:lang w:val="es-ES" w:eastAsia="es-ES" w:bidi="es-ES"/>
      </w:rPr>
    </w:lvl>
    <w:lvl w:ilvl="4">
      <w:start w:val="0"/>
      <w:numFmt w:val="bullet"/>
      <w:lvlText w:val="•"/>
      <w:lvlJc w:val="left"/>
      <w:pPr>
        <w:ind w:left="3950" w:hanging="144"/>
      </w:pPr>
      <w:rPr>
        <w:rFonts w:hint="default"/>
        <w:lang w:val="es-ES" w:eastAsia="es-ES" w:bidi="es-ES"/>
      </w:rPr>
    </w:lvl>
    <w:lvl w:ilvl="5">
      <w:start w:val="0"/>
      <w:numFmt w:val="bullet"/>
      <w:lvlText w:val="•"/>
      <w:lvlJc w:val="left"/>
      <w:pPr>
        <w:ind w:left="4873" w:hanging="144"/>
      </w:pPr>
      <w:rPr>
        <w:rFonts w:hint="default"/>
        <w:lang w:val="es-ES" w:eastAsia="es-ES" w:bidi="es-ES"/>
      </w:rPr>
    </w:lvl>
    <w:lvl w:ilvl="6">
      <w:start w:val="0"/>
      <w:numFmt w:val="bullet"/>
      <w:lvlText w:val="•"/>
      <w:lvlJc w:val="left"/>
      <w:pPr>
        <w:ind w:left="5795" w:hanging="144"/>
      </w:pPr>
      <w:rPr>
        <w:rFonts w:hint="default"/>
        <w:lang w:val="es-ES" w:eastAsia="es-ES" w:bidi="es-ES"/>
      </w:rPr>
    </w:lvl>
    <w:lvl w:ilvl="7">
      <w:start w:val="0"/>
      <w:numFmt w:val="bullet"/>
      <w:lvlText w:val="•"/>
      <w:lvlJc w:val="left"/>
      <w:pPr>
        <w:ind w:left="6718" w:hanging="144"/>
      </w:pPr>
      <w:rPr>
        <w:rFonts w:hint="default"/>
        <w:lang w:val="es-ES" w:eastAsia="es-ES" w:bidi="es-ES"/>
      </w:rPr>
    </w:lvl>
    <w:lvl w:ilvl="8">
      <w:start w:val="0"/>
      <w:numFmt w:val="bullet"/>
      <w:lvlText w:val="•"/>
      <w:lvlJc w:val="left"/>
      <w:pPr>
        <w:ind w:left="7640" w:hanging="144"/>
      </w:pPr>
      <w:rPr>
        <w:rFonts w:hint="default"/>
        <w:lang w:val="es-ES" w:eastAsia="es-ES" w:bidi="es-ES"/>
      </w:rPr>
    </w:lvl>
  </w:abstractNum>
  <w:abstractNum w:abstractNumId="3">
    <w:multiLevelType w:val="hybridMultilevel"/>
    <w:lvl w:ilvl="0">
      <w:start w:val="1"/>
      <w:numFmt w:val="decimal"/>
      <w:lvlText w:val="%1)"/>
      <w:lvlJc w:val="left"/>
      <w:pPr>
        <w:ind w:left="107" w:hanging="228"/>
        <w:jc w:val="left"/>
      </w:pPr>
      <w:rPr>
        <w:rFonts w:hint="default" w:ascii="Calibri" w:hAnsi="Calibri" w:eastAsia="Calibri" w:cs="Calibri"/>
        <w:b/>
        <w:bCs/>
        <w:spacing w:val="-2"/>
        <w:w w:val="100"/>
        <w:sz w:val="20"/>
        <w:szCs w:val="20"/>
        <w:lang w:val="es-ES" w:eastAsia="es-ES" w:bidi="es-ES"/>
      </w:rPr>
    </w:lvl>
    <w:lvl w:ilvl="1">
      <w:start w:val="0"/>
      <w:numFmt w:val="bullet"/>
      <w:lvlText w:val="•"/>
      <w:lvlJc w:val="left"/>
      <w:pPr>
        <w:ind w:left="1038" w:hanging="228"/>
      </w:pPr>
      <w:rPr>
        <w:rFonts w:hint="default"/>
        <w:lang w:val="es-ES" w:eastAsia="es-ES" w:bidi="es-ES"/>
      </w:rPr>
    </w:lvl>
    <w:lvl w:ilvl="2">
      <w:start w:val="0"/>
      <w:numFmt w:val="bullet"/>
      <w:lvlText w:val="•"/>
      <w:lvlJc w:val="left"/>
      <w:pPr>
        <w:ind w:left="1977" w:hanging="228"/>
      </w:pPr>
      <w:rPr>
        <w:rFonts w:hint="default"/>
        <w:lang w:val="es-ES" w:eastAsia="es-ES" w:bidi="es-ES"/>
      </w:rPr>
    </w:lvl>
    <w:lvl w:ilvl="3">
      <w:start w:val="0"/>
      <w:numFmt w:val="bullet"/>
      <w:lvlText w:val="•"/>
      <w:lvlJc w:val="left"/>
      <w:pPr>
        <w:ind w:left="2915" w:hanging="228"/>
      </w:pPr>
      <w:rPr>
        <w:rFonts w:hint="default"/>
        <w:lang w:val="es-ES" w:eastAsia="es-ES" w:bidi="es-ES"/>
      </w:rPr>
    </w:lvl>
    <w:lvl w:ilvl="4">
      <w:start w:val="0"/>
      <w:numFmt w:val="bullet"/>
      <w:lvlText w:val="•"/>
      <w:lvlJc w:val="left"/>
      <w:pPr>
        <w:ind w:left="3854" w:hanging="228"/>
      </w:pPr>
      <w:rPr>
        <w:rFonts w:hint="default"/>
        <w:lang w:val="es-ES" w:eastAsia="es-ES" w:bidi="es-ES"/>
      </w:rPr>
    </w:lvl>
    <w:lvl w:ilvl="5">
      <w:start w:val="0"/>
      <w:numFmt w:val="bullet"/>
      <w:lvlText w:val="•"/>
      <w:lvlJc w:val="left"/>
      <w:pPr>
        <w:ind w:left="4793" w:hanging="228"/>
      </w:pPr>
      <w:rPr>
        <w:rFonts w:hint="default"/>
        <w:lang w:val="es-ES" w:eastAsia="es-ES" w:bidi="es-ES"/>
      </w:rPr>
    </w:lvl>
    <w:lvl w:ilvl="6">
      <w:start w:val="0"/>
      <w:numFmt w:val="bullet"/>
      <w:lvlText w:val="•"/>
      <w:lvlJc w:val="left"/>
      <w:pPr>
        <w:ind w:left="5731" w:hanging="228"/>
      </w:pPr>
      <w:rPr>
        <w:rFonts w:hint="default"/>
        <w:lang w:val="es-ES" w:eastAsia="es-ES" w:bidi="es-ES"/>
      </w:rPr>
    </w:lvl>
    <w:lvl w:ilvl="7">
      <w:start w:val="0"/>
      <w:numFmt w:val="bullet"/>
      <w:lvlText w:val="•"/>
      <w:lvlJc w:val="left"/>
      <w:pPr>
        <w:ind w:left="6670" w:hanging="228"/>
      </w:pPr>
      <w:rPr>
        <w:rFonts w:hint="default"/>
        <w:lang w:val="es-ES" w:eastAsia="es-ES" w:bidi="es-ES"/>
      </w:rPr>
    </w:lvl>
    <w:lvl w:ilvl="8">
      <w:start w:val="0"/>
      <w:numFmt w:val="bullet"/>
      <w:lvlText w:val="•"/>
      <w:lvlJc w:val="left"/>
      <w:pPr>
        <w:ind w:left="7608" w:hanging="228"/>
      </w:pPr>
      <w:rPr>
        <w:rFonts w:hint="default"/>
        <w:lang w:val="es-ES" w:eastAsia="es-ES" w:bidi="es-ES"/>
      </w:rPr>
    </w:lvl>
  </w:abstractNum>
  <w:abstractNum w:abstractNumId="2">
    <w:multiLevelType w:val="hybridMultilevel"/>
    <w:lvl w:ilvl="0">
      <w:start w:val="5"/>
      <w:numFmt w:val="decimal"/>
      <w:lvlText w:val="%1"/>
      <w:lvlJc w:val="left"/>
      <w:pPr>
        <w:ind w:left="604" w:hanging="297"/>
        <w:jc w:val="left"/>
      </w:pPr>
      <w:rPr>
        <w:rFonts w:hint="default"/>
        <w:lang w:val="es-ES" w:eastAsia="es-ES" w:bidi="es-ES"/>
      </w:rPr>
    </w:lvl>
    <w:lvl w:ilvl="1">
      <w:start w:val="1"/>
      <w:numFmt w:val="decimal"/>
      <w:lvlText w:val="%1.%2"/>
      <w:lvlJc w:val="left"/>
      <w:pPr>
        <w:ind w:left="604" w:hanging="297"/>
        <w:jc w:val="left"/>
      </w:pPr>
      <w:rPr>
        <w:rFonts w:hint="default" w:ascii="Calibri" w:hAnsi="Calibri" w:eastAsia="Calibri" w:cs="Calibri"/>
        <w:b/>
        <w:bCs/>
        <w:spacing w:val="-2"/>
        <w:w w:val="100"/>
        <w:sz w:val="20"/>
        <w:szCs w:val="20"/>
        <w:lang w:val="es-ES" w:eastAsia="es-ES" w:bidi="es-ES"/>
      </w:rPr>
    </w:lvl>
    <w:lvl w:ilvl="2">
      <w:start w:val="0"/>
      <w:numFmt w:val="bullet"/>
      <w:lvlText w:val="•"/>
      <w:lvlJc w:val="left"/>
      <w:pPr>
        <w:ind w:left="2876" w:hanging="297"/>
      </w:pPr>
      <w:rPr>
        <w:rFonts w:hint="default"/>
        <w:lang w:val="es-ES" w:eastAsia="es-ES" w:bidi="es-ES"/>
      </w:rPr>
    </w:lvl>
    <w:lvl w:ilvl="3">
      <w:start w:val="0"/>
      <w:numFmt w:val="bullet"/>
      <w:lvlText w:val="•"/>
      <w:lvlJc w:val="left"/>
      <w:pPr>
        <w:ind w:left="4014" w:hanging="297"/>
      </w:pPr>
      <w:rPr>
        <w:rFonts w:hint="default"/>
        <w:lang w:val="es-ES" w:eastAsia="es-ES" w:bidi="es-ES"/>
      </w:rPr>
    </w:lvl>
    <w:lvl w:ilvl="4">
      <w:start w:val="0"/>
      <w:numFmt w:val="bullet"/>
      <w:lvlText w:val="•"/>
      <w:lvlJc w:val="left"/>
      <w:pPr>
        <w:ind w:left="5152" w:hanging="297"/>
      </w:pPr>
      <w:rPr>
        <w:rFonts w:hint="default"/>
        <w:lang w:val="es-ES" w:eastAsia="es-ES" w:bidi="es-ES"/>
      </w:rPr>
    </w:lvl>
    <w:lvl w:ilvl="5">
      <w:start w:val="0"/>
      <w:numFmt w:val="bullet"/>
      <w:lvlText w:val="•"/>
      <w:lvlJc w:val="left"/>
      <w:pPr>
        <w:ind w:left="6290" w:hanging="297"/>
      </w:pPr>
      <w:rPr>
        <w:rFonts w:hint="default"/>
        <w:lang w:val="es-ES" w:eastAsia="es-ES" w:bidi="es-ES"/>
      </w:rPr>
    </w:lvl>
    <w:lvl w:ilvl="6">
      <w:start w:val="0"/>
      <w:numFmt w:val="bullet"/>
      <w:lvlText w:val="•"/>
      <w:lvlJc w:val="left"/>
      <w:pPr>
        <w:ind w:left="7428" w:hanging="297"/>
      </w:pPr>
      <w:rPr>
        <w:rFonts w:hint="default"/>
        <w:lang w:val="es-ES" w:eastAsia="es-ES" w:bidi="es-ES"/>
      </w:rPr>
    </w:lvl>
    <w:lvl w:ilvl="7">
      <w:start w:val="0"/>
      <w:numFmt w:val="bullet"/>
      <w:lvlText w:val="•"/>
      <w:lvlJc w:val="left"/>
      <w:pPr>
        <w:ind w:left="8566" w:hanging="297"/>
      </w:pPr>
      <w:rPr>
        <w:rFonts w:hint="default"/>
        <w:lang w:val="es-ES" w:eastAsia="es-ES" w:bidi="es-ES"/>
      </w:rPr>
    </w:lvl>
    <w:lvl w:ilvl="8">
      <w:start w:val="0"/>
      <w:numFmt w:val="bullet"/>
      <w:lvlText w:val="•"/>
      <w:lvlJc w:val="left"/>
      <w:pPr>
        <w:ind w:left="9704" w:hanging="297"/>
      </w:pPr>
      <w:rPr>
        <w:rFonts w:hint="default"/>
        <w:lang w:val="es-ES" w:eastAsia="es-ES" w:bidi="es-ES"/>
      </w:rPr>
    </w:lvl>
  </w:abstractNum>
  <w:abstractNum w:abstractNumId="1">
    <w:multiLevelType w:val="hybridMultilevel"/>
    <w:lvl w:ilvl="0">
      <w:start w:val="4"/>
      <w:numFmt w:val="decimal"/>
      <w:lvlText w:val="%1"/>
      <w:lvlJc w:val="left"/>
      <w:pPr>
        <w:ind w:left="291" w:hanging="288"/>
        <w:jc w:val="left"/>
      </w:pPr>
      <w:rPr>
        <w:rFonts w:hint="default"/>
        <w:lang w:val="es-ES" w:eastAsia="es-ES" w:bidi="es-ES"/>
      </w:rPr>
    </w:lvl>
    <w:lvl w:ilvl="1">
      <w:start w:val="3"/>
      <w:numFmt w:val="decimal"/>
      <w:lvlText w:val="%1.%2"/>
      <w:lvlJc w:val="left"/>
      <w:pPr>
        <w:ind w:left="291" w:hanging="288"/>
        <w:jc w:val="left"/>
      </w:pPr>
      <w:rPr>
        <w:rFonts w:hint="default" w:ascii="Calibri" w:hAnsi="Calibri" w:eastAsia="Calibri" w:cs="Calibri"/>
        <w:b/>
        <w:bCs/>
        <w:spacing w:val="-6"/>
        <w:w w:val="100"/>
        <w:sz w:val="20"/>
        <w:szCs w:val="20"/>
        <w:lang w:val="es-ES" w:eastAsia="es-ES" w:bidi="es-ES"/>
      </w:rPr>
    </w:lvl>
    <w:lvl w:ilvl="2">
      <w:start w:val="1"/>
      <w:numFmt w:val="decimal"/>
      <w:lvlText w:val="%1.%2.%3"/>
      <w:lvlJc w:val="left"/>
      <w:pPr>
        <w:ind w:left="3" w:hanging="456"/>
        <w:jc w:val="right"/>
      </w:pPr>
      <w:rPr>
        <w:rFonts w:hint="default" w:ascii="Calibri" w:hAnsi="Calibri" w:eastAsia="Calibri" w:cs="Calibri"/>
        <w:b/>
        <w:bCs/>
        <w:spacing w:val="-2"/>
        <w:w w:val="100"/>
        <w:sz w:val="20"/>
        <w:szCs w:val="20"/>
        <w:lang w:val="es-ES" w:eastAsia="es-ES" w:bidi="es-ES"/>
      </w:rPr>
    </w:lvl>
    <w:lvl w:ilvl="3">
      <w:start w:val="0"/>
      <w:numFmt w:val="bullet"/>
      <w:lvlText w:val="•"/>
      <w:lvlJc w:val="left"/>
      <w:pPr>
        <w:ind w:left="2593" w:hanging="456"/>
      </w:pPr>
      <w:rPr>
        <w:rFonts w:hint="default"/>
        <w:lang w:val="es-ES" w:eastAsia="es-ES" w:bidi="es-ES"/>
      </w:rPr>
    </w:lvl>
    <w:lvl w:ilvl="4">
      <w:start w:val="0"/>
      <w:numFmt w:val="bullet"/>
      <w:lvlText w:val="•"/>
      <w:lvlJc w:val="left"/>
      <w:pPr>
        <w:ind w:left="3740" w:hanging="456"/>
      </w:pPr>
      <w:rPr>
        <w:rFonts w:hint="default"/>
        <w:lang w:val="es-ES" w:eastAsia="es-ES" w:bidi="es-ES"/>
      </w:rPr>
    </w:lvl>
    <w:lvl w:ilvl="5">
      <w:start w:val="0"/>
      <w:numFmt w:val="bullet"/>
      <w:lvlText w:val="•"/>
      <w:lvlJc w:val="left"/>
      <w:pPr>
        <w:ind w:left="4887" w:hanging="456"/>
      </w:pPr>
      <w:rPr>
        <w:rFonts w:hint="default"/>
        <w:lang w:val="es-ES" w:eastAsia="es-ES" w:bidi="es-ES"/>
      </w:rPr>
    </w:lvl>
    <w:lvl w:ilvl="6">
      <w:start w:val="0"/>
      <w:numFmt w:val="bullet"/>
      <w:lvlText w:val="•"/>
      <w:lvlJc w:val="left"/>
      <w:pPr>
        <w:ind w:left="6034" w:hanging="456"/>
      </w:pPr>
      <w:rPr>
        <w:rFonts w:hint="default"/>
        <w:lang w:val="es-ES" w:eastAsia="es-ES" w:bidi="es-ES"/>
      </w:rPr>
    </w:lvl>
    <w:lvl w:ilvl="7">
      <w:start w:val="0"/>
      <w:numFmt w:val="bullet"/>
      <w:lvlText w:val="•"/>
      <w:lvlJc w:val="left"/>
      <w:pPr>
        <w:ind w:left="7181" w:hanging="456"/>
      </w:pPr>
      <w:rPr>
        <w:rFonts w:hint="default"/>
        <w:lang w:val="es-ES" w:eastAsia="es-ES" w:bidi="es-ES"/>
      </w:rPr>
    </w:lvl>
    <w:lvl w:ilvl="8">
      <w:start w:val="0"/>
      <w:numFmt w:val="bullet"/>
      <w:lvlText w:val="•"/>
      <w:lvlJc w:val="left"/>
      <w:pPr>
        <w:ind w:left="8328" w:hanging="456"/>
      </w:pPr>
      <w:rPr>
        <w:rFonts w:hint="default"/>
        <w:lang w:val="es-ES" w:eastAsia="es-ES" w:bidi="es-ES"/>
      </w:rPr>
    </w:lvl>
  </w:abstractNum>
  <w:abstractNum w:abstractNumId="0">
    <w:multiLevelType w:val="hybridMultilevel"/>
    <w:lvl w:ilvl="0">
      <w:start w:val="2"/>
      <w:numFmt w:val="decimal"/>
      <w:lvlText w:val="%1."/>
      <w:lvlJc w:val="left"/>
      <w:pPr>
        <w:ind w:left="424" w:hanging="197"/>
        <w:jc w:val="left"/>
      </w:pPr>
      <w:rPr>
        <w:rFonts w:hint="default" w:ascii="Calibri" w:hAnsi="Calibri" w:eastAsia="Calibri" w:cs="Calibri"/>
        <w:b/>
        <w:bCs/>
        <w:spacing w:val="-2"/>
        <w:w w:val="100"/>
        <w:sz w:val="20"/>
        <w:szCs w:val="20"/>
        <w:lang w:val="es-ES" w:eastAsia="es-ES" w:bidi="es-ES"/>
      </w:rPr>
    </w:lvl>
    <w:lvl w:ilvl="1">
      <w:start w:val="0"/>
      <w:numFmt w:val="bullet"/>
      <w:lvlText w:val=""/>
      <w:lvlJc w:val="left"/>
      <w:pPr>
        <w:ind w:left="1016" w:hanging="437"/>
      </w:pPr>
      <w:rPr>
        <w:rFonts w:hint="default" w:ascii="Symbol" w:hAnsi="Symbol" w:eastAsia="Symbol" w:cs="Symbol"/>
        <w:w w:val="100"/>
        <w:sz w:val="24"/>
        <w:szCs w:val="24"/>
        <w:lang w:val="es-ES" w:eastAsia="es-ES" w:bidi="es-ES"/>
      </w:rPr>
    </w:lvl>
    <w:lvl w:ilvl="2">
      <w:start w:val="0"/>
      <w:numFmt w:val="bullet"/>
      <w:lvlText w:val="•"/>
      <w:lvlJc w:val="left"/>
      <w:pPr>
        <w:ind w:left="2132" w:hanging="437"/>
      </w:pPr>
      <w:rPr>
        <w:rFonts w:hint="default"/>
        <w:lang w:val="es-ES" w:eastAsia="es-ES" w:bidi="es-ES"/>
      </w:rPr>
    </w:lvl>
    <w:lvl w:ilvl="3">
      <w:start w:val="0"/>
      <w:numFmt w:val="bullet"/>
      <w:lvlText w:val="•"/>
      <w:lvlJc w:val="left"/>
      <w:pPr>
        <w:ind w:left="3244" w:hanging="437"/>
      </w:pPr>
      <w:rPr>
        <w:rFonts w:hint="default"/>
        <w:lang w:val="es-ES" w:eastAsia="es-ES" w:bidi="es-ES"/>
      </w:rPr>
    </w:lvl>
    <w:lvl w:ilvl="4">
      <w:start w:val="0"/>
      <w:numFmt w:val="bullet"/>
      <w:lvlText w:val="•"/>
      <w:lvlJc w:val="left"/>
      <w:pPr>
        <w:ind w:left="4356" w:hanging="437"/>
      </w:pPr>
      <w:rPr>
        <w:rFonts w:hint="default"/>
        <w:lang w:val="es-ES" w:eastAsia="es-ES" w:bidi="es-ES"/>
      </w:rPr>
    </w:lvl>
    <w:lvl w:ilvl="5">
      <w:start w:val="0"/>
      <w:numFmt w:val="bullet"/>
      <w:lvlText w:val="•"/>
      <w:lvlJc w:val="left"/>
      <w:pPr>
        <w:ind w:left="5468" w:hanging="437"/>
      </w:pPr>
      <w:rPr>
        <w:rFonts w:hint="default"/>
        <w:lang w:val="es-ES" w:eastAsia="es-ES" w:bidi="es-ES"/>
      </w:rPr>
    </w:lvl>
    <w:lvl w:ilvl="6">
      <w:start w:val="0"/>
      <w:numFmt w:val="bullet"/>
      <w:lvlText w:val="•"/>
      <w:lvlJc w:val="left"/>
      <w:pPr>
        <w:ind w:left="6580" w:hanging="437"/>
      </w:pPr>
      <w:rPr>
        <w:rFonts w:hint="default"/>
        <w:lang w:val="es-ES" w:eastAsia="es-ES" w:bidi="es-ES"/>
      </w:rPr>
    </w:lvl>
    <w:lvl w:ilvl="7">
      <w:start w:val="0"/>
      <w:numFmt w:val="bullet"/>
      <w:lvlText w:val="•"/>
      <w:lvlJc w:val="left"/>
      <w:pPr>
        <w:ind w:left="7692" w:hanging="437"/>
      </w:pPr>
      <w:rPr>
        <w:rFonts w:hint="default"/>
        <w:lang w:val="es-ES" w:eastAsia="es-ES" w:bidi="es-ES"/>
      </w:rPr>
    </w:lvl>
    <w:lvl w:ilvl="8">
      <w:start w:val="0"/>
      <w:numFmt w:val="bullet"/>
      <w:lvlText w:val="•"/>
      <w:lvlJc w:val="left"/>
      <w:pPr>
        <w:ind w:left="8804" w:hanging="437"/>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ind w:left="91"/>
      <w:outlineLvl w:val="1"/>
    </w:pPr>
    <w:rPr>
      <w:rFonts w:ascii="Calibri" w:hAnsi="Calibri" w:eastAsia="Calibri" w:cs="Calibri"/>
      <w:sz w:val="36"/>
      <w:szCs w:val="36"/>
      <w:lang w:val="es-ES" w:eastAsia="es-ES" w:bidi="es-ES"/>
    </w:rPr>
  </w:style>
  <w:style w:styleId="Heading2" w:type="paragraph">
    <w:name w:val="Heading 2"/>
    <w:basedOn w:val="Normal"/>
    <w:uiPriority w:val="1"/>
    <w:qFormat/>
    <w:pPr>
      <w:ind w:left="1" w:right="1"/>
      <w:jc w:val="center"/>
      <w:outlineLvl w:val="2"/>
    </w:pPr>
    <w:rPr>
      <w:rFonts w:ascii="Calibri" w:hAnsi="Calibri" w:eastAsia="Calibri" w:cs="Calibri"/>
      <w:b/>
      <w:bCs/>
      <w:sz w:val="24"/>
      <w:szCs w:val="24"/>
      <w:lang w:val="es-ES" w:eastAsia="es-ES" w:bidi="es-ES"/>
    </w:rPr>
  </w:style>
  <w:style w:styleId="Heading3" w:type="paragraph">
    <w:name w:val="Heading 3"/>
    <w:basedOn w:val="Normal"/>
    <w:uiPriority w:val="1"/>
    <w:qFormat/>
    <w:pPr>
      <w:spacing w:before="1"/>
      <w:ind w:left="1344" w:right="1338"/>
      <w:jc w:val="center"/>
      <w:outlineLvl w:val="3"/>
    </w:pPr>
    <w:rPr>
      <w:rFonts w:ascii="Calibri" w:hAnsi="Calibri" w:eastAsia="Calibri" w:cs="Calibri"/>
      <w:b/>
      <w:bCs/>
      <w:sz w:val="22"/>
      <w:szCs w:val="22"/>
      <w:lang w:val="es-ES" w:eastAsia="es-ES" w:bidi="es-ES"/>
    </w:rPr>
  </w:style>
  <w:style w:styleId="Heading4" w:type="paragraph">
    <w:name w:val="Heading 4"/>
    <w:basedOn w:val="Normal"/>
    <w:uiPriority w:val="1"/>
    <w:qFormat/>
    <w:pPr>
      <w:ind w:left="307"/>
      <w:outlineLvl w:val="4"/>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spacing w:before="25"/>
      <w:ind w:left="1028" w:hanging="436"/>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obienpuedeporcorreoelectr&#243;nicoapena@poder-judicial.go.crsiempreycuandoeldocumentoseafirmado" TargetMode="External"/><Relationship Id="rId7" Type="http://schemas.openxmlformats.org/officeDocument/2006/relationships/hyperlink" Target="mailto:xxxx@poder-judicial.go.cr" TargetMode="External"/><Relationship Id="rId8" Type="http://schemas.openxmlformats.org/officeDocument/2006/relationships/hyperlink" Target="mailto:info@marluvas.net" TargetMode="External"/><Relationship Id="rId9" Type="http://schemas.openxmlformats.org/officeDocument/2006/relationships/hyperlink" Target="https://pjenlinea.poder-judicial.go.cr/vcce.userinterface/" TargetMode="External"/><Relationship Id="rId10" Type="http://schemas.openxmlformats.org/officeDocument/2006/relationships/hyperlink" Target="http://www.poder-judicial.go.cr/" TargetMode="External"/><Relationship Id="rId11" Type="http://schemas.openxmlformats.org/officeDocument/2006/relationships/hyperlink" Target="mailto:crosales@poder-judicial.go.cr" TargetMode="External"/><Relationship Id="rId12" Type="http://schemas.openxmlformats.org/officeDocument/2006/relationships/hyperlink" Target="https://www.poder-judicial.go.cr/proveeduria" TargetMode="External"/><Relationship Id="rId13" Type="http://schemas.openxmlformats.org/officeDocument/2006/relationships/header" Target="header2.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eader" Target="header3.xml"/><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2020-06-04T17:16:13Z</dcterms:created>
  <dcterms:modified xsi:type="dcterms:W3CDTF">2020-06-04T17:16:13Z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20 para Word</vt:lpwstr>
  </property>
  <property fmtid="{D5CDD505-2E9C-101B-9397-08002B2CF9AE}" pid="4" name="LastSaved">
    <vt:filetime>2020-06-04T00:00:00Z</vt:filetime>
  </property>
</Properties>
</file>