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0"/>
        </w:rPr>
      </w:pPr>
    </w:p>
    <w:p>
      <w:pPr>
        <w:pStyle w:val="Heading1"/>
        <w:spacing w:before="92"/>
        <w:ind w:left="0"/>
        <w:jc w:val="center"/>
      </w:pPr>
      <w:r>
        <w:rPr/>
        <w:t>Contratación Menor 2020CD-000001-ARPCM</w:t>
      </w:r>
    </w:p>
    <w:p>
      <w:pPr>
        <w:pStyle w:val="BodyText"/>
        <w:rPr>
          <w:b/>
        </w:rPr>
      </w:pPr>
    </w:p>
    <w:p>
      <w:pPr>
        <w:pStyle w:val="BodyText"/>
        <w:ind w:left="6679"/>
      </w:pPr>
      <w:r>
        <w:rPr/>
        <w:t>San José, 01 de Febrero 2020</w:t>
      </w:r>
    </w:p>
    <w:p>
      <w:pPr>
        <w:pStyle w:val="BodyText"/>
        <w:rPr>
          <w:sz w:val="16"/>
        </w:rPr>
      </w:pPr>
    </w:p>
    <w:p>
      <w:pPr>
        <w:pStyle w:val="Heading1"/>
        <w:spacing w:before="92"/>
      </w:pPr>
      <w:r>
        <w:rPr/>
        <w:t>Señores:</w:t>
      </w:r>
    </w:p>
    <w:p>
      <w:pPr>
        <w:pStyle w:val="BodyText"/>
        <w:ind w:left="1082"/>
      </w:pPr>
      <w:r>
        <w:rPr/>
        <w:t>Poder Judicial.</w:t>
      </w:r>
    </w:p>
    <w:p>
      <w:pPr>
        <w:pStyle w:val="BodyText"/>
      </w:pPr>
    </w:p>
    <w:p>
      <w:pPr>
        <w:pStyle w:val="Heading1"/>
      </w:pPr>
      <w:r>
        <w:rPr/>
        <w:t>Departamento de Proveeduría:</w:t>
      </w:r>
    </w:p>
    <w:p>
      <w:pPr>
        <w:pStyle w:val="BodyText"/>
        <w:ind w:left="1082"/>
      </w:pPr>
      <w:r>
        <w:rPr/>
        <w:t>2019CD-000001-ARNCM.</w:t>
      </w:r>
    </w:p>
    <w:p>
      <w:pPr>
        <w:pStyle w:val="BodyText"/>
      </w:pPr>
    </w:p>
    <w:p>
      <w:pPr>
        <w:pStyle w:val="BodyText"/>
        <w:ind w:left="1082" w:right="1244"/>
      </w:pPr>
      <w:r>
        <w:rPr/>
        <w:t>″Compra e instalación de llantas para vehículo placa CL 3311907, Unidad PJ 751 Isuzu D Max año 2018, asignada a la Delegación Regional de Puntarenas″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tbl>
      <w:tblPr>
        <w:tblW w:w="0" w:type="auto"/>
        <w:jc w:val="left"/>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7"/>
        <w:gridCol w:w="5703"/>
      </w:tblGrid>
      <w:tr>
        <w:trPr>
          <w:trHeight w:val="244" w:hRule="atLeast"/>
        </w:trPr>
        <w:tc>
          <w:tcPr>
            <w:tcW w:w="3087" w:type="dxa"/>
          </w:tcPr>
          <w:p>
            <w:pPr>
              <w:pStyle w:val="TableParagraph"/>
              <w:spacing w:line="223" w:lineRule="exact" w:before="1"/>
              <w:ind w:left="107"/>
              <w:rPr>
                <w:sz w:val="20"/>
              </w:rPr>
            </w:pPr>
            <w:r>
              <w:rPr>
                <w:sz w:val="20"/>
              </w:rPr>
              <w:t>Nombre del o la oferente</w:t>
            </w:r>
          </w:p>
        </w:tc>
        <w:tc>
          <w:tcPr>
            <w:tcW w:w="5703" w:type="dxa"/>
            <w:shd w:val="clear" w:color="auto" w:fill="E6E6E6"/>
          </w:tcPr>
          <w:p>
            <w:pPr>
              <w:pStyle w:val="TableParagraph"/>
              <w:spacing w:line="223" w:lineRule="exact" w:before="1"/>
              <w:ind w:left="105"/>
              <w:rPr>
                <w:sz w:val="20"/>
              </w:rPr>
            </w:pPr>
            <w:r>
              <w:rPr>
                <w:sz w:val="20"/>
              </w:rPr>
              <w:t>IMPORTADORA AD NAT</w:t>
            </w:r>
          </w:p>
        </w:tc>
      </w:tr>
      <w:tr>
        <w:trPr>
          <w:trHeight w:val="244" w:hRule="atLeast"/>
        </w:trPr>
        <w:tc>
          <w:tcPr>
            <w:tcW w:w="3087" w:type="dxa"/>
          </w:tcPr>
          <w:p>
            <w:pPr>
              <w:pStyle w:val="TableParagraph"/>
              <w:spacing w:line="223" w:lineRule="exact" w:before="1"/>
              <w:ind w:left="107"/>
              <w:rPr>
                <w:sz w:val="20"/>
              </w:rPr>
            </w:pPr>
            <w:r>
              <w:rPr>
                <w:sz w:val="20"/>
              </w:rPr>
              <w:t>Cédula jurídica/cédula física</w:t>
            </w:r>
          </w:p>
        </w:tc>
        <w:tc>
          <w:tcPr>
            <w:tcW w:w="5703" w:type="dxa"/>
            <w:shd w:val="clear" w:color="auto" w:fill="E6E6E6"/>
          </w:tcPr>
          <w:p>
            <w:pPr>
              <w:pStyle w:val="TableParagraph"/>
              <w:spacing w:line="223" w:lineRule="exact" w:before="1"/>
              <w:ind w:left="105"/>
              <w:rPr>
                <w:sz w:val="20"/>
              </w:rPr>
            </w:pPr>
            <w:r>
              <w:rPr>
                <w:sz w:val="20"/>
              </w:rPr>
              <w:t>3-101-167171</w:t>
            </w:r>
          </w:p>
        </w:tc>
      </w:tr>
      <w:tr>
        <w:trPr>
          <w:trHeight w:val="486" w:hRule="atLeast"/>
        </w:trPr>
        <w:tc>
          <w:tcPr>
            <w:tcW w:w="3087" w:type="dxa"/>
          </w:tcPr>
          <w:p>
            <w:pPr>
              <w:pStyle w:val="TableParagraph"/>
              <w:spacing w:line="243" w:lineRule="exact"/>
              <w:ind w:left="107"/>
              <w:rPr>
                <w:sz w:val="20"/>
              </w:rPr>
            </w:pPr>
            <w:r>
              <w:rPr>
                <w:sz w:val="20"/>
              </w:rPr>
              <w:t>Nombre del o la representante</w:t>
            </w:r>
          </w:p>
          <w:p>
            <w:pPr>
              <w:pStyle w:val="TableParagraph"/>
              <w:spacing w:line="223" w:lineRule="exact"/>
              <w:ind w:left="107"/>
              <w:rPr>
                <w:sz w:val="20"/>
              </w:rPr>
            </w:pPr>
            <w:r>
              <w:rPr>
                <w:sz w:val="20"/>
              </w:rPr>
              <w:t>legal</w:t>
            </w:r>
          </w:p>
        </w:tc>
        <w:tc>
          <w:tcPr>
            <w:tcW w:w="5703" w:type="dxa"/>
            <w:shd w:val="clear" w:color="auto" w:fill="E6E6E6"/>
          </w:tcPr>
          <w:p>
            <w:pPr>
              <w:pStyle w:val="TableParagraph"/>
              <w:spacing w:line="243" w:lineRule="exact"/>
              <w:ind w:left="105"/>
              <w:rPr>
                <w:sz w:val="20"/>
              </w:rPr>
            </w:pPr>
            <w:r>
              <w:rPr>
                <w:sz w:val="20"/>
              </w:rPr>
              <w:t>Jehudith Naturman Stenber</w:t>
            </w:r>
          </w:p>
        </w:tc>
      </w:tr>
      <w:tr>
        <w:trPr>
          <w:trHeight w:val="244" w:hRule="atLeast"/>
        </w:trPr>
        <w:tc>
          <w:tcPr>
            <w:tcW w:w="3087" w:type="dxa"/>
          </w:tcPr>
          <w:p>
            <w:pPr>
              <w:pStyle w:val="TableParagraph"/>
              <w:spacing w:line="223" w:lineRule="exact" w:before="1"/>
              <w:ind w:left="107"/>
              <w:rPr>
                <w:sz w:val="20"/>
              </w:rPr>
            </w:pPr>
            <w:r>
              <w:rPr>
                <w:sz w:val="20"/>
              </w:rPr>
              <w:t>Número de teléfono</w:t>
            </w:r>
          </w:p>
        </w:tc>
        <w:tc>
          <w:tcPr>
            <w:tcW w:w="5703" w:type="dxa"/>
            <w:shd w:val="clear" w:color="auto" w:fill="E6E6E6"/>
          </w:tcPr>
          <w:p>
            <w:pPr>
              <w:pStyle w:val="TableParagraph"/>
              <w:spacing w:line="223" w:lineRule="exact" w:before="1"/>
              <w:ind w:left="105"/>
              <w:rPr>
                <w:sz w:val="20"/>
              </w:rPr>
            </w:pPr>
            <w:r>
              <w:rPr>
                <w:sz w:val="20"/>
              </w:rPr>
              <w:t>2586-7050</w:t>
            </w:r>
          </w:p>
        </w:tc>
      </w:tr>
      <w:tr>
        <w:trPr>
          <w:trHeight w:val="244" w:hRule="atLeast"/>
        </w:trPr>
        <w:tc>
          <w:tcPr>
            <w:tcW w:w="3087" w:type="dxa"/>
          </w:tcPr>
          <w:p>
            <w:pPr>
              <w:pStyle w:val="TableParagraph"/>
              <w:spacing w:line="223" w:lineRule="exact" w:before="1"/>
              <w:ind w:left="107"/>
              <w:rPr>
                <w:sz w:val="20"/>
              </w:rPr>
            </w:pPr>
            <w:r>
              <w:rPr>
                <w:sz w:val="20"/>
              </w:rPr>
              <w:t>Correo electrónico</w:t>
            </w:r>
          </w:p>
        </w:tc>
        <w:tc>
          <w:tcPr>
            <w:tcW w:w="5703" w:type="dxa"/>
            <w:shd w:val="clear" w:color="auto" w:fill="E6E6E6"/>
          </w:tcPr>
          <w:p>
            <w:pPr>
              <w:pStyle w:val="TableParagraph"/>
              <w:spacing w:line="223" w:lineRule="exact" w:before="1"/>
              <w:ind w:left="105"/>
              <w:rPr>
                <w:sz w:val="20"/>
              </w:rPr>
            </w:pPr>
            <w:hyperlink r:id="rId7">
              <w:r>
                <w:rPr>
                  <w:sz w:val="20"/>
                </w:rPr>
                <w:t>jnaturman@fanast.com</w:t>
              </w:r>
            </w:hyperlink>
          </w:p>
        </w:tc>
      </w:tr>
      <w:tr>
        <w:trPr>
          <w:trHeight w:val="244" w:hRule="atLeast"/>
        </w:trPr>
        <w:tc>
          <w:tcPr>
            <w:tcW w:w="3087" w:type="dxa"/>
          </w:tcPr>
          <w:p>
            <w:pPr>
              <w:pStyle w:val="TableParagraph"/>
              <w:spacing w:line="223" w:lineRule="exact" w:before="1"/>
              <w:ind w:left="107"/>
              <w:rPr>
                <w:sz w:val="20"/>
              </w:rPr>
            </w:pPr>
            <w:r>
              <w:rPr>
                <w:sz w:val="20"/>
              </w:rPr>
              <w:t>Medio oficial de notificación</w:t>
            </w:r>
          </w:p>
        </w:tc>
        <w:tc>
          <w:tcPr>
            <w:tcW w:w="5703" w:type="dxa"/>
            <w:shd w:val="clear" w:color="auto" w:fill="E6E6E6"/>
          </w:tcPr>
          <w:p>
            <w:pPr>
              <w:pStyle w:val="TableParagraph"/>
              <w:spacing w:line="223" w:lineRule="exact" w:before="1"/>
              <w:ind w:left="105"/>
              <w:rPr>
                <w:sz w:val="20"/>
              </w:rPr>
            </w:pPr>
            <w:r>
              <w:rPr>
                <w:sz w:val="20"/>
              </w:rPr>
              <w:t>Correo electrónico</w:t>
            </w:r>
          </w:p>
        </w:tc>
      </w:tr>
      <w:tr>
        <w:trPr>
          <w:trHeight w:val="244" w:hRule="atLeast"/>
        </w:trPr>
        <w:tc>
          <w:tcPr>
            <w:tcW w:w="3087" w:type="dxa"/>
          </w:tcPr>
          <w:p>
            <w:pPr>
              <w:pStyle w:val="TableParagraph"/>
              <w:spacing w:line="223" w:lineRule="exact" w:before="1"/>
              <w:ind w:left="107"/>
              <w:rPr>
                <w:sz w:val="20"/>
              </w:rPr>
            </w:pPr>
            <w:r>
              <w:rPr>
                <w:sz w:val="20"/>
              </w:rPr>
              <w:t>Número de fax</w:t>
            </w:r>
          </w:p>
        </w:tc>
        <w:tc>
          <w:tcPr>
            <w:tcW w:w="5703" w:type="dxa"/>
            <w:shd w:val="clear" w:color="auto" w:fill="E6E6E6"/>
          </w:tcPr>
          <w:p>
            <w:pPr>
              <w:pStyle w:val="TableParagraph"/>
              <w:spacing w:line="223" w:lineRule="exact" w:before="1"/>
              <w:ind w:left="105"/>
              <w:rPr>
                <w:sz w:val="20"/>
              </w:rPr>
            </w:pPr>
            <w:r>
              <w:rPr>
                <w:sz w:val="20"/>
              </w:rPr>
              <w:t>2227-2200</w:t>
            </w:r>
          </w:p>
        </w:tc>
      </w:tr>
      <w:tr>
        <w:trPr>
          <w:trHeight w:val="486" w:hRule="atLeast"/>
        </w:trPr>
        <w:tc>
          <w:tcPr>
            <w:tcW w:w="3087" w:type="dxa"/>
          </w:tcPr>
          <w:p>
            <w:pPr>
              <w:pStyle w:val="TableParagraph"/>
              <w:spacing w:line="243" w:lineRule="exact" w:before="1"/>
              <w:ind w:left="107"/>
              <w:rPr>
                <w:sz w:val="20"/>
              </w:rPr>
            </w:pPr>
            <w:r>
              <w:rPr>
                <w:sz w:val="20"/>
              </w:rPr>
              <w:t>Nombre de la persona encargada</w:t>
            </w:r>
          </w:p>
          <w:p>
            <w:pPr>
              <w:pStyle w:val="TableParagraph"/>
              <w:spacing w:line="222" w:lineRule="exact"/>
              <w:ind w:left="107"/>
              <w:rPr>
                <w:sz w:val="20"/>
              </w:rPr>
            </w:pPr>
            <w:r>
              <w:rPr>
                <w:sz w:val="20"/>
              </w:rPr>
              <w:t>del procedimiento</w:t>
            </w:r>
          </w:p>
        </w:tc>
        <w:tc>
          <w:tcPr>
            <w:tcW w:w="5703" w:type="dxa"/>
            <w:shd w:val="clear" w:color="auto" w:fill="E6E6E6"/>
          </w:tcPr>
          <w:p>
            <w:pPr>
              <w:pStyle w:val="TableParagraph"/>
              <w:spacing w:before="1"/>
              <w:ind w:left="105"/>
              <w:rPr>
                <w:sz w:val="20"/>
              </w:rPr>
            </w:pPr>
            <w:r>
              <w:rPr>
                <w:sz w:val="20"/>
              </w:rPr>
              <w:t>Norman Avendaño Godoy</w:t>
            </w:r>
          </w:p>
        </w:tc>
      </w:tr>
      <w:tr>
        <w:trPr>
          <w:trHeight w:val="489" w:hRule="atLeast"/>
        </w:trPr>
        <w:tc>
          <w:tcPr>
            <w:tcW w:w="3087" w:type="dxa"/>
          </w:tcPr>
          <w:p>
            <w:pPr>
              <w:pStyle w:val="TableParagraph"/>
              <w:spacing w:line="240" w:lineRule="atLeast" w:before="1"/>
              <w:ind w:left="107"/>
              <w:rPr>
                <w:sz w:val="20"/>
              </w:rPr>
            </w:pPr>
            <w:r>
              <w:rPr>
                <w:sz w:val="20"/>
              </w:rPr>
              <w:t>Número de teléfono de la persona encargada del procedimiento</w:t>
            </w:r>
          </w:p>
        </w:tc>
        <w:tc>
          <w:tcPr>
            <w:tcW w:w="5703" w:type="dxa"/>
            <w:shd w:val="clear" w:color="auto" w:fill="E6E6E6"/>
          </w:tcPr>
          <w:p>
            <w:pPr>
              <w:pStyle w:val="TableParagraph"/>
              <w:spacing w:before="1"/>
              <w:ind w:left="105"/>
              <w:rPr>
                <w:sz w:val="20"/>
              </w:rPr>
            </w:pPr>
            <w:r>
              <w:rPr>
                <w:sz w:val="20"/>
              </w:rPr>
              <w:t>Ofic. 2586-7050 ext. 113 Cel. 6173-4242</w:t>
            </w:r>
          </w:p>
        </w:tc>
      </w:tr>
      <w:tr>
        <w:trPr>
          <w:trHeight w:val="489" w:hRule="atLeast"/>
        </w:trPr>
        <w:tc>
          <w:tcPr>
            <w:tcW w:w="3087" w:type="dxa"/>
          </w:tcPr>
          <w:p>
            <w:pPr>
              <w:pStyle w:val="TableParagraph"/>
              <w:spacing w:before="1"/>
              <w:ind w:left="107"/>
              <w:rPr>
                <w:sz w:val="20"/>
              </w:rPr>
            </w:pPr>
            <w:r>
              <w:rPr>
                <w:sz w:val="20"/>
              </w:rPr>
              <w:t>Dirección exacta de la empresa</w:t>
            </w:r>
          </w:p>
        </w:tc>
        <w:tc>
          <w:tcPr>
            <w:tcW w:w="5703" w:type="dxa"/>
            <w:shd w:val="clear" w:color="auto" w:fill="E6E6E6"/>
          </w:tcPr>
          <w:p>
            <w:pPr>
              <w:pStyle w:val="TableParagraph"/>
              <w:spacing w:line="240" w:lineRule="atLeast" w:before="1"/>
              <w:ind w:left="105"/>
              <w:rPr>
                <w:sz w:val="20"/>
              </w:rPr>
            </w:pPr>
            <w:r>
              <w:rPr>
                <w:sz w:val="20"/>
              </w:rPr>
              <w:t>San Jose, San Sebastian, Contiguo al parqueo de Walmart, calle paralela a ruta 29</w:t>
            </w:r>
          </w:p>
        </w:tc>
      </w:tr>
    </w:tbl>
    <w:p>
      <w:pPr>
        <w:spacing w:after="0" w:line="240" w:lineRule="atLeast"/>
        <w:rPr>
          <w:sz w:val="20"/>
        </w:rPr>
        <w:sectPr>
          <w:headerReference w:type="default" r:id="rId5"/>
          <w:footerReference w:type="default" r:id="rId6"/>
          <w:type w:val="continuous"/>
          <w:pgSz w:w="12250" w:h="15850"/>
          <w:pgMar w:header="720" w:footer="1363" w:top="1560" w:bottom="1560" w:left="620" w:right="620"/>
          <w:pgNumType w:start="1"/>
        </w:sectPr>
      </w:pPr>
    </w:p>
    <w:p>
      <w:pPr>
        <w:pStyle w:val="BodyText"/>
        <w:rPr>
          <w:sz w:val="20"/>
        </w:rPr>
      </w:pPr>
    </w:p>
    <w:p>
      <w:pPr>
        <w:pStyle w:val="BodyText"/>
        <w:spacing w:before="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0"/>
        <w:gridCol w:w="477"/>
        <w:gridCol w:w="959"/>
        <w:gridCol w:w="1009"/>
        <w:gridCol w:w="4279"/>
        <w:gridCol w:w="1607"/>
        <w:gridCol w:w="1962"/>
      </w:tblGrid>
      <w:tr>
        <w:trPr>
          <w:trHeight w:val="220" w:hRule="atLeast"/>
        </w:trPr>
        <w:tc>
          <w:tcPr>
            <w:tcW w:w="2925" w:type="dxa"/>
            <w:gridSpan w:val="4"/>
            <w:shd w:val="clear" w:color="auto" w:fill="B7B3C9"/>
          </w:tcPr>
          <w:p>
            <w:pPr>
              <w:pStyle w:val="TableParagraph"/>
              <w:rPr>
                <w:rFonts w:ascii="Times New Roman"/>
                <w:sz w:val="14"/>
              </w:rPr>
            </w:pPr>
          </w:p>
        </w:tc>
        <w:tc>
          <w:tcPr>
            <w:tcW w:w="7848" w:type="dxa"/>
            <w:gridSpan w:val="3"/>
            <w:shd w:val="clear" w:color="auto" w:fill="B7B3C9"/>
          </w:tcPr>
          <w:p>
            <w:pPr>
              <w:pStyle w:val="TableParagraph"/>
              <w:spacing w:line="199" w:lineRule="exact" w:before="1"/>
              <w:ind w:left="2163"/>
              <w:rPr>
                <w:b/>
                <w:sz w:val="18"/>
              </w:rPr>
            </w:pPr>
            <w:r>
              <w:rPr>
                <w:b/>
                <w:sz w:val="18"/>
              </w:rPr>
              <w:t>5. Oferta económica y especificaciones técnicas</w:t>
            </w:r>
          </w:p>
        </w:tc>
      </w:tr>
      <w:tr>
        <w:trPr>
          <w:trHeight w:val="220" w:hRule="atLeast"/>
        </w:trPr>
        <w:tc>
          <w:tcPr>
            <w:tcW w:w="2925" w:type="dxa"/>
            <w:gridSpan w:val="4"/>
            <w:shd w:val="clear" w:color="auto" w:fill="B7B3C9"/>
          </w:tcPr>
          <w:p>
            <w:pPr>
              <w:pStyle w:val="TableParagraph"/>
              <w:rPr>
                <w:rFonts w:ascii="Times New Roman"/>
                <w:sz w:val="14"/>
              </w:rPr>
            </w:pPr>
          </w:p>
        </w:tc>
        <w:tc>
          <w:tcPr>
            <w:tcW w:w="7848" w:type="dxa"/>
            <w:gridSpan w:val="3"/>
            <w:shd w:val="clear" w:color="auto" w:fill="B7B3C9"/>
          </w:tcPr>
          <w:p>
            <w:pPr>
              <w:pStyle w:val="TableParagraph"/>
              <w:spacing w:line="199" w:lineRule="exact" w:before="1"/>
              <w:ind w:left="2240" w:right="2213"/>
              <w:jc w:val="center"/>
              <w:rPr>
                <w:b/>
                <w:sz w:val="18"/>
              </w:rPr>
            </w:pPr>
            <w:r>
              <w:rPr>
                <w:b/>
                <w:sz w:val="18"/>
              </w:rPr>
              <w:t>Contratación Menor 2020CD-000001-ARPCM</w:t>
            </w:r>
          </w:p>
        </w:tc>
      </w:tr>
      <w:tr>
        <w:trPr>
          <w:trHeight w:val="1098" w:hRule="atLeast"/>
        </w:trPr>
        <w:tc>
          <w:tcPr>
            <w:tcW w:w="480" w:type="dxa"/>
            <w:shd w:val="clear" w:color="auto" w:fill="B7B3C9"/>
          </w:tcPr>
          <w:p>
            <w:pPr>
              <w:pStyle w:val="TableParagraph"/>
              <w:rPr>
                <w:rFonts w:ascii="Arial"/>
                <w:sz w:val="18"/>
              </w:rPr>
            </w:pPr>
          </w:p>
          <w:p>
            <w:pPr>
              <w:pStyle w:val="TableParagraph"/>
              <w:spacing w:before="123"/>
              <w:ind w:left="194" w:right="59" w:hanging="111"/>
              <w:rPr>
                <w:b/>
                <w:sz w:val="18"/>
              </w:rPr>
            </w:pPr>
            <w:r>
              <w:rPr>
                <w:b/>
                <w:sz w:val="18"/>
              </w:rPr>
              <w:t>Líne a</w:t>
            </w:r>
          </w:p>
        </w:tc>
        <w:tc>
          <w:tcPr>
            <w:tcW w:w="477" w:type="dxa"/>
            <w:shd w:val="clear" w:color="auto" w:fill="B7B3C9"/>
          </w:tcPr>
          <w:p>
            <w:pPr>
              <w:pStyle w:val="TableParagraph"/>
              <w:rPr>
                <w:rFonts w:ascii="Arial"/>
                <w:sz w:val="18"/>
              </w:rPr>
            </w:pPr>
          </w:p>
          <w:p>
            <w:pPr>
              <w:pStyle w:val="TableParagraph"/>
              <w:spacing w:before="123"/>
              <w:ind w:left="206" w:right="68" w:hanging="108"/>
              <w:rPr>
                <w:b/>
                <w:sz w:val="18"/>
              </w:rPr>
            </w:pPr>
            <w:r>
              <w:rPr>
                <w:b/>
                <w:sz w:val="18"/>
              </w:rPr>
              <w:t>Can t</w:t>
            </w:r>
          </w:p>
        </w:tc>
        <w:tc>
          <w:tcPr>
            <w:tcW w:w="959" w:type="dxa"/>
            <w:shd w:val="clear" w:color="auto" w:fill="B7B3C9"/>
          </w:tcPr>
          <w:p>
            <w:pPr>
              <w:pStyle w:val="TableParagraph"/>
              <w:rPr>
                <w:rFonts w:ascii="Arial"/>
                <w:sz w:val="18"/>
              </w:rPr>
            </w:pPr>
          </w:p>
          <w:p>
            <w:pPr>
              <w:pStyle w:val="TableParagraph"/>
              <w:spacing w:before="123"/>
              <w:ind w:left="192" w:hanging="96"/>
              <w:rPr>
                <w:b/>
                <w:sz w:val="18"/>
              </w:rPr>
            </w:pPr>
            <w:r>
              <w:rPr>
                <w:b/>
                <w:sz w:val="18"/>
              </w:rPr>
              <w:t>Unidad de Medida</w:t>
            </w:r>
          </w:p>
        </w:tc>
        <w:tc>
          <w:tcPr>
            <w:tcW w:w="1009" w:type="dxa"/>
            <w:shd w:val="clear" w:color="auto" w:fill="B7B3C9"/>
          </w:tcPr>
          <w:p>
            <w:pPr>
              <w:pStyle w:val="TableParagraph"/>
              <w:spacing w:before="1"/>
              <w:ind w:left="109" w:right="94" w:hanging="1"/>
              <w:jc w:val="center"/>
              <w:rPr>
                <w:b/>
                <w:sz w:val="18"/>
              </w:rPr>
            </w:pPr>
            <w:r>
              <w:rPr>
                <w:b/>
                <w:sz w:val="18"/>
              </w:rPr>
              <w:t>Código Institución al (Uso exclusivo</w:t>
            </w:r>
          </w:p>
          <w:p>
            <w:pPr>
              <w:pStyle w:val="TableParagraph"/>
              <w:spacing w:line="199" w:lineRule="exact"/>
              <w:ind w:left="197" w:right="182"/>
              <w:jc w:val="center"/>
              <w:rPr>
                <w:b/>
                <w:sz w:val="18"/>
              </w:rPr>
            </w:pPr>
            <w:r>
              <w:rPr>
                <w:b/>
                <w:sz w:val="18"/>
              </w:rPr>
              <w:t>del P.J.)</w:t>
            </w:r>
          </w:p>
        </w:tc>
        <w:tc>
          <w:tcPr>
            <w:tcW w:w="4279" w:type="dxa"/>
            <w:shd w:val="clear" w:color="auto" w:fill="B7B3C9"/>
          </w:tcPr>
          <w:p>
            <w:pPr>
              <w:pStyle w:val="TableParagraph"/>
              <w:rPr>
                <w:rFonts w:ascii="Arial"/>
                <w:sz w:val="18"/>
              </w:rPr>
            </w:pPr>
          </w:p>
          <w:p>
            <w:pPr>
              <w:pStyle w:val="TableParagraph"/>
              <w:spacing w:before="3"/>
              <w:rPr>
                <w:rFonts w:ascii="Arial"/>
                <w:sz w:val="20"/>
              </w:rPr>
            </w:pPr>
          </w:p>
          <w:p>
            <w:pPr>
              <w:pStyle w:val="TableParagraph"/>
              <w:ind w:left="1388"/>
              <w:rPr>
                <w:b/>
                <w:sz w:val="18"/>
              </w:rPr>
            </w:pPr>
            <w:r>
              <w:rPr>
                <w:b/>
                <w:sz w:val="18"/>
              </w:rPr>
              <w:t>Descripción del bien</w:t>
            </w:r>
          </w:p>
        </w:tc>
        <w:tc>
          <w:tcPr>
            <w:tcW w:w="1607" w:type="dxa"/>
            <w:shd w:val="clear" w:color="auto" w:fill="B7B3C9"/>
          </w:tcPr>
          <w:p>
            <w:pPr>
              <w:pStyle w:val="TableParagraph"/>
              <w:spacing w:before="7"/>
              <w:rPr>
                <w:rFonts w:ascii="Arial"/>
                <w:sz w:val="26"/>
              </w:rPr>
            </w:pPr>
          </w:p>
          <w:p>
            <w:pPr>
              <w:pStyle w:val="TableParagraph"/>
              <w:ind w:left="462" w:right="147" w:hanging="279"/>
              <w:rPr>
                <w:b/>
                <w:sz w:val="20"/>
              </w:rPr>
            </w:pPr>
            <w:r>
              <w:rPr>
                <w:b/>
                <w:sz w:val="20"/>
              </w:rPr>
              <w:t>Precio Unitario ofrecido</w:t>
            </w:r>
          </w:p>
        </w:tc>
        <w:tc>
          <w:tcPr>
            <w:tcW w:w="1962" w:type="dxa"/>
            <w:shd w:val="clear" w:color="auto" w:fill="B7B3C9"/>
          </w:tcPr>
          <w:p>
            <w:pPr>
              <w:pStyle w:val="TableParagraph"/>
              <w:rPr>
                <w:rFonts w:ascii="Arial"/>
                <w:sz w:val="20"/>
              </w:rPr>
            </w:pPr>
          </w:p>
          <w:p>
            <w:pPr>
              <w:pStyle w:val="TableParagraph"/>
              <w:spacing w:before="3"/>
              <w:rPr>
                <w:rFonts w:ascii="Arial"/>
                <w:sz w:val="17"/>
              </w:rPr>
            </w:pPr>
          </w:p>
          <w:p>
            <w:pPr>
              <w:pStyle w:val="TableParagraph"/>
              <w:ind w:left="111"/>
              <w:rPr>
                <w:b/>
                <w:sz w:val="20"/>
              </w:rPr>
            </w:pPr>
            <w:r>
              <w:rPr>
                <w:b/>
                <w:sz w:val="20"/>
              </w:rPr>
              <w:t>Precio Total Ofrecido</w:t>
            </w:r>
          </w:p>
        </w:tc>
      </w:tr>
      <w:tr>
        <w:trPr>
          <w:trHeight w:val="976" w:hRule="atLeast"/>
        </w:trPr>
        <w:tc>
          <w:tcPr>
            <w:tcW w:w="480" w:type="dxa"/>
          </w:tcPr>
          <w:p>
            <w:pPr>
              <w:pStyle w:val="TableParagraph"/>
              <w:rPr>
                <w:rFonts w:ascii="Arial"/>
                <w:sz w:val="20"/>
              </w:rPr>
            </w:pPr>
          </w:p>
          <w:p>
            <w:pPr>
              <w:pStyle w:val="TableParagraph"/>
              <w:spacing w:before="136"/>
              <w:ind w:left="4"/>
              <w:jc w:val="center"/>
              <w:rPr>
                <w:sz w:val="20"/>
              </w:rPr>
            </w:pPr>
            <w:r>
              <w:rPr>
                <w:w w:val="99"/>
                <w:sz w:val="20"/>
              </w:rPr>
              <w:t>1</w:t>
            </w:r>
          </w:p>
        </w:tc>
        <w:tc>
          <w:tcPr>
            <w:tcW w:w="477" w:type="dxa"/>
          </w:tcPr>
          <w:p>
            <w:pPr>
              <w:pStyle w:val="TableParagraph"/>
              <w:rPr>
                <w:rFonts w:ascii="Arial"/>
                <w:sz w:val="20"/>
              </w:rPr>
            </w:pPr>
          </w:p>
          <w:p>
            <w:pPr>
              <w:pStyle w:val="TableParagraph"/>
              <w:spacing w:before="136"/>
              <w:ind w:left="8"/>
              <w:jc w:val="center"/>
              <w:rPr>
                <w:sz w:val="20"/>
              </w:rPr>
            </w:pPr>
            <w:r>
              <w:rPr>
                <w:w w:val="99"/>
                <w:sz w:val="20"/>
              </w:rPr>
              <w:t>4</w:t>
            </w:r>
          </w:p>
        </w:tc>
        <w:tc>
          <w:tcPr>
            <w:tcW w:w="959" w:type="dxa"/>
          </w:tcPr>
          <w:p>
            <w:pPr>
              <w:pStyle w:val="TableParagraph"/>
              <w:rPr>
                <w:rFonts w:ascii="Arial"/>
                <w:sz w:val="20"/>
              </w:rPr>
            </w:pPr>
          </w:p>
          <w:p>
            <w:pPr>
              <w:pStyle w:val="TableParagraph"/>
              <w:spacing w:before="136"/>
              <w:ind w:left="111"/>
              <w:rPr>
                <w:sz w:val="20"/>
              </w:rPr>
            </w:pPr>
            <w:r>
              <w:rPr>
                <w:sz w:val="20"/>
              </w:rPr>
              <w:t>unidades</w:t>
            </w:r>
          </w:p>
        </w:tc>
        <w:tc>
          <w:tcPr>
            <w:tcW w:w="1009" w:type="dxa"/>
          </w:tcPr>
          <w:p>
            <w:pPr>
              <w:pStyle w:val="TableParagraph"/>
              <w:rPr>
                <w:rFonts w:ascii="Times New Roman"/>
                <w:sz w:val="18"/>
              </w:rPr>
            </w:pPr>
          </w:p>
        </w:tc>
        <w:tc>
          <w:tcPr>
            <w:tcW w:w="4279" w:type="dxa"/>
          </w:tcPr>
          <w:p>
            <w:pPr>
              <w:pStyle w:val="TableParagraph"/>
              <w:spacing w:before="1"/>
              <w:ind w:left="73" w:right="55"/>
              <w:jc w:val="both"/>
              <w:rPr>
                <w:sz w:val="20"/>
              </w:rPr>
            </w:pPr>
            <w:r>
              <w:rPr>
                <w:sz w:val="20"/>
              </w:rPr>
              <w:t>Compra e instalación de llantas para vehículo</w:t>
            </w:r>
            <w:r>
              <w:rPr>
                <w:spacing w:val="-24"/>
                <w:sz w:val="20"/>
              </w:rPr>
              <w:t> </w:t>
            </w:r>
            <w:r>
              <w:rPr>
                <w:sz w:val="20"/>
              </w:rPr>
              <w:t>placa CL 3311907, Unidad PJ 751 Isuzu D Max año 2018, asignada a la Delegación Regional</w:t>
            </w:r>
            <w:r>
              <w:rPr>
                <w:spacing w:val="17"/>
                <w:sz w:val="20"/>
              </w:rPr>
              <w:t> </w:t>
            </w:r>
            <w:r>
              <w:rPr>
                <w:sz w:val="20"/>
              </w:rPr>
              <w:t>de</w:t>
            </w:r>
          </w:p>
          <w:p>
            <w:pPr>
              <w:pStyle w:val="TableParagraph"/>
              <w:spacing w:line="223" w:lineRule="exact"/>
              <w:ind w:left="73"/>
              <w:jc w:val="both"/>
              <w:rPr>
                <w:sz w:val="20"/>
              </w:rPr>
            </w:pPr>
            <w:r>
              <w:rPr>
                <w:sz w:val="20"/>
              </w:rPr>
              <w:t>Puntarenas.(según especificaciones técnicas)</w:t>
            </w:r>
          </w:p>
        </w:tc>
        <w:tc>
          <w:tcPr>
            <w:tcW w:w="1607" w:type="dxa"/>
          </w:tcPr>
          <w:p>
            <w:pPr>
              <w:pStyle w:val="TableParagraph"/>
              <w:rPr>
                <w:rFonts w:ascii="Arial"/>
                <w:sz w:val="20"/>
              </w:rPr>
            </w:pPr>
          </w:p>
          <w:p>
            <w:pPr>
              <w:pStyle w:val="TableParagraph"/>
              <w:spacing w:before="136"/>
              <w:ind w:left="73"/>
              <w:rPr>
                <w:sz w:val="20"/>
              </w:rPr>
            </w:pPr>
            <w:r>
              <w:rPr>
                <w:sz w:val="20"/>
              </w:rPr>
              <w:t>₡96 857,56</w:t>
            </w:r>
          </w:p>
        </w:tc>
        <w:tc>
          <w:tcPr>
            <w:tcW w:w="1962" w:type="dxa"/>
          </w:tcPr>
          <w:p>
            <w:pPr>
              <w:pStyle w:val="TableParagraph"/>
              <w:rPr>
                <w:rFonts w:ascii="Arial"/>
                <w:sz w:val="20"/>
              </w:rPr>
            </w:pPr>
          </w:p>
          <w:p>
            <w:pPr>
              <w:pStyle w:val="TableParagraph"/>
              <w:spacing w:before="136"/>
              <w:ind w:left="75"/>
              <w:rPr>
                <w:sz w:val="20"/>
              </w:rPr>
            </w:pPr>
            <w:r>
              <w:rPr>
                <w:sz w:val="20"/>
              </w:rPr>
              <w:t>₡ 387 430.24</w:t>
            </w:r>
          </w:p>
        </w:tc>
      </w:tr>
      <w:tr>
        <w:trPr>
          <w:trHeight w:val="439" w:hRule="atLeast"/>
        </w:trPr>
        <w:tc>
          <w:tcPr>
            <w:tcW w:w="480" w:type="dxa"/>
            <w:vMerge w:val="restart"/>
          </w:tcPr>
          <w:p>
            <w:pPr>
              <w:pStyle w:val="TableParagraph"/>
              <w:rPr>
                <w:rFonts w:ascii="Times New Roman"/>
                <w:sz w:val="18"/>
              </w:rPr>
            </w:pPr>
          </w:p>
        </w:tc>
        <w:tc>
          <w:tcPr>
            <w:tcW w:w="477" w:type="dxa"/>
            <w:vMerge w:val="restart"/>
          </w:tcPr>
          <w:p>
            <w:pPr>
              <w:pStyle w:val="TableParagraph"/>
              <w:rPr>
                <w:rFonts w:ascii="Times New Roman"/>
                <w:sz w:val="18"/>
              </w:rPr>
            </w:pPr>
          </w:p>
        </w:tc>
        <w:tc>
          <w:tcPr>
            <w:tcW w:w="959" w:type="dxa"/>
            <w:vMerge w:val="restart"/>
          </w:tcPr>
          <w:p>
            <w:pPr>
              <w:pStyle w:val="TableParagraph"/>
              <w:rPr>
                <w:rFonts w:ascii="Times New Roman"/>
                <w:sz w:val="18"/>
              </w:rPr>
            </w:pPr>
          </w:p>
        </w:tc>
        <w:tc>
          <w:tcPr>
            <w:tcW w:w="1009" w:type="dxa"/>
            <w:vMerge w:val="restart"/>
          </w:tcPr>
          <w:p>
            <w:pPr>
              <w:pStyle w:val="TableParagraph"/>
              <w:rPr>
                <w:rFonts w:ascii="Times New Roman"/>
                <w:sz w:val="18"/>
              </w:rPr>
            </w:pPr>
          </w:p>
        </w:tc>
        <w:tc>
          <w:tcPr>
            <w:tcW w:w="4279" w:type="dxa"/>
            <w:vMerge w:val="restart"/>
          </w:tcPr>
          <w:p>
            <w:pPr>
              <w:pStyle w:val="TableParagraph"/>
              <w:spacing w:before="2"/>
              <w:ind w:left="73"/>
              <w:rPr>
                <w:sz w:val="18"/>
              </w:rPr>
            </w:pPr>
            <w:r>
              <w:rPr>
                <w:b/>
                <w:sz w:val="18"/>
              </w:rPr>
              <w:t>Monto total en letras: </w:t>
            </w:r>
            <w:r>
              <w:rPr>
                <w:sz w:val="18"/>
              </w:rPr>
              <w:t>Cuatrocientos treinta y siete mil, setecientos noventa y cinco con 90/100</w:t>
            </w:r>
          </w:p>
        </w:tc>
        <w:tc>
          <w:tcPr>
            <w:tcW w:w="3569" w:type="dxa"/>
            <w:gridSpan w:val="2"/>
          </w:tcPr>
          <w:p>
            <w:pPr>
              <w:pStyle w:val="TableParagraph"/>
              <w:tabs>
                <w:tab w:pos="1780" w:val="left" w:leader="none"/>
              </w:tabs>
              <w:spacing w:before="98"/>
              <w:ind w:left="73"/>
              <w:rPr>
                <w:sz w:val="20"/>
              </w:rPr>
            </w:pPr>
            <w:r>
              <w:rPr>
                <w:sz w:val="20"/>
              </w:rPr>
              <w:t>Impuesto</w:t>
            </w:r>
            <w:r>
              <w:rPr>
                <w:spacing w:val="-2"/>
                <w:sz w:val="20"/>
              </w:rPr>
              <w:t> </w:t>
            </w:r>
            <w:r>
              <w:rPr>
                <w:sz w:val="20"/>
              </w:rPr>
              <w:t>13%</w:t>
              <w:tab/>
              <w:t>₡ 50</w:t>
            </w:r>
            <w:r>
              <w:rPr>
                <w:spacing w:val="-2"/>
                <w:sz w:val="20"/>
              </w:rPr>
              <w:t> </w:t>
            </w:r>
            <w:r>
              <w:rPr>
                <w:sz w:val="20"/>
              </w:rPr>
              <w:t>365.93</w:t>
            </w:r>
          </w:p>
        </w:tc>
      </w:tr>
      <w:tr>
        <w:trPr>
          <w:trHeight w:val="244" w:hRule="atLeast"/>
        </w:trPr>
        <w:tc>
          <w:tcPr>
            <w:tcW w:w="480" w:type="dxa"/>
            <w:vMerge/>
            <w:tcBorders>
              <w:top w:val="nil"/>
            </w:tcBorders>
          </w:tcPr>
          <w:p>
            <w:pPr>
              <w:rPr>
                <w:sz w:val="2"/>
                <w:szCs w:val="2"/>
              </w:rPr>
            </w:pPr>
          </w:p>
        </w:tc>
        <w:tc>
          <w:tcPr>
            <w:tcW w:w="477" w:type="dxa"/>
            <w:vMerge/>
            <w:tcBorders>
              <w:top w:val="nil"/>
            </w:tcBorders>
          </w:tcPr>
          <w:p>
            <w:pPr>
              <w:rPr>
                <w:sz w:val="2"/>
                <w:szCs w:val="2"/>
              </w:rPr>
            </w:pPr>
          </w:p>
        </w:tc>
        <w:tc>
          <w:tcPr>
            <w:tcW w:w="959" w:type="dxa"/>
            <w:vMerge/>
            <w:tcBorders>
              <w:top w:val="nil"/>
            </w:tcBorders>
          </w:tcPr>
          <w:p>
            <w:pPr>
              <w:rPr>
                <w:sz w:val="2"/>
                <w:szCs w:val="2"/>
              </w:rPr>
            </w:pPr>
          </w:p>
        </w:tc>
        <w:tc>
          <w:tcPr>
            <w:tcW w:w="1009" w:type="dxa"/>
            <w:vMerge/>
            <w:tcBorders>
              <w:top w:val="nil"/>
            </w:tcBorders>
          </w:tcPr>
          <w:p>
            <w:pPr>
              <w:rPr>
                <w:sz w:val="2"/>
                <w:szCs w:val="2"/>
              </w:rPr>
            </w:pPr>
          </w:p>
        </w:tc>
        <w:tc>
          <w:tcPr>
            <w:tcW w:w="4279" w:type="dxa"/>
            <w:vMerge/>
            <w:tcBorders>
              <w:top w:val="nil"/>
            </w:tcBorders>
          </w:tcPr>
          <w:p>
            <w:pPr>
              <w:rPr>
                <w:sz w:val="2"/>
                <w:szCs w:val="2"/>
              </w:rPr>
            </w:pPr>
          </w:p>
        </w:tc>
        <w:tc>
          <w:tcPr>
            <w:tcW w:w="3569" w:type="dxa"/>
            <w:gridSpan w:val="2"/>
          </w:tcPr>
          <w:p>
            <w:pPr>
              <w:pStyle w:val="TableParagraph"/>
              <w:tabs>
                <w:tab w:pos="1785" w:val="left" w:leader="none"/>
              </w:tabs>
              <w:spacing w:line="223" w:lineRule="exact" w:before="1"/>
              <w:ind w:left="73"/>
              <w:rPr>
                <w:sz w:val="20"/>
              </w:rPr>
            </w:pPr>
            <w:r>
              <w:rPr>
                <w:sz w:val="20"/>
              </w:rPr>
              <w:t>Total</w:t>
            </w:r>
            <w:r>
              <w:rPr>
                <w:spacing w:val="-2"/>
                <w:sz w:val="20"/>
              </w:rPr>
              <w:t> </w:t>
            </w:r>
            <w:r>
              <w:rPr>
                <w:sz w:val="20"/>
              </w:rPr>
              <w:t>con</w:t>
            </w:r>
            <w:r>
              <w:rPr>
                <w:spacing w:val="-1"/>
                <w:sz w:val="20"/>
              </w:rPr>
              <w:t> </w:t>
            </w:r>
            <w:r>
              <w:rPr>
                <w:sz w:val="20"/>
              </w:rPr>
              <w:t>IVA</w:t>
              <w:tab/>
              <w:t>₡ 437</w:t>
            </w:r>
            <w:r>
              <w:rPr>
                <w:spacing w:val="-3"/>
                <w:sz w:val="20"/>
              </w:rPr>
              <w:t> </w:t>
            </w:r>
            <w:r>
              <w:rPr>
                <w:sz w:val="20"/>
              </w:rPr>
              <w:t>796.17</w:t>
            </w:r>
          </w:p>
        </w:tc>
      </w:tr>
    </w:tbl>
    <w:p>
      <w:pPr>
        <w:pStyle w:val="BodyText"/>
        <w:spacing w:before="6"/>
        <w:rPr>
          <w:sz w:val="20"/>
        </w:rPr>
      </w:pPr>
      <w:r>
        <w:rPr/>
        <w:pict>
          <v:shape style="position:absolute;margin-left:39.480pt;margin-top:14.039995pt;width:533.3pt;height:209.1pt;mso-position-horizontal-relative:page;mso-position-vertical-relative:paragraph;z-index:-251658240;mso-wrap-distance-left:0;mso-wrap-distance-right:0" type="#_x0000_t202" filled="false" stroked="true" strokeweight=".47998pt" strokecolor="#000000">
            <v:textbox inset="0,0,0,0">
              <w:txbxContent>
                <w:p>
                  <w:pPr>
                    <w:spacing w:before="1"/>
                    <w:ind w:left="100" w:right="0" w:firstLine="0"/>
                    <w:jc w:val="both"/>
                    <w:rPr>
                      <w:rFonts w:ascii="Calibri" w:hAnsi="Calibri"/>
                      <w:b/>
                      <w:sz w:val="18"/>
                    </w:rPr>
                  </w:pPr>
                  <w:r>
                    <w:rPr>
                      <w:rFonts w:ascii="Calibri" w:hAnsi="Calibri"/>
                      <w:b/>
                      <w:sz w:val="18"/>
                    </w:rPr>
                    <w:t>Requiere exoneración de impuestos de nacionalización</w:t>
                  </w:r>
                </w:p>
                <w:p>
                  <w:pPr>
                    <w:tabs>
                      <w:tab w:pos="2328" w:val="left" w:leader="none"/>
                    </w:tabs>
                    <w:spacing w:line="496" w:lineRule="exact" w:before="28"/>
                    <w:ind w:left="100" w:right="7528" w:firstLine="0"/>
                    <w:jc w:val="left"/>
                    <w:rPr>
                      <w:rFonts w:ascii="Calibri"/>
                      <w:sz w:val="18"/>
                    </w:rPr>
                  </w:pPr>
                  <w:r>
                    <w:rPr>
                      <w:rFonts w:ascii="Calibri"/>
                      <w:sz w:val="18"/>
                    </w:rPr>
                    <w:t>Marque con una X:  Si</w:t>
                  </w:r>
                  <w:r>
                    <w:rPr>
                      <w:rFonts w:ascii="Calibri"/>
                      <w:spacing w:val="-8"/>
                      <w:sz w:val="18"/>
                    </w:rPr>
                    <w:t> </w:t>
                  </w:r>
                  <w:r>
                    <w:rPr>
                      <w:rFonts w:ascii="Calibri"/>
                      <w:sz w:val="18"/>
                    </w:rPr>
                    <w:t>(  </w:t>
                  </w:r>
                  <w:r>
                    <w:rPr>
                      <w:rFonts w:ascii="Calibri"/>
                      <w:spacing w:val="39"/>
                      <w:sz w:val="18"/>
                    </w:rPr>
                    <w:t> </w:t>
                  </w:r>
                  <w:r>
                    <w:rPr>
                      <w:rFonts w:ascii="Calibri"/>
                      <w:sz w:val="18"/>
                    </w:rPr>
                    <w:t>)</w:t>
                    <w:tab/>
                    <w:t>No ( </w:t>
                  </w:r>
                  <w:r>
                    <w:rPr>
                      <w:b/>
                      <w:sz w:val="22"/>
                    </w:rPr>
                    <w:t>X </w:t>
                  </w:r>
                  <w:r>
                    <w:rPr>
                      <w:rFonts w:ascii="Calibri"/>
                      <w:spacing w:val="-15"/>
                      <w:sz w:val="18"/>
                    </w:rPr>
                    <w:t>) </w:t>
                  </w:r>
                  <w:r>
                    <w:rPr>
                      <w:rFonts w:ascii="Calibri"/>
                      <w:sz w:val="18"/>
                    </w:rPr>
                    <w:t>Observaciones:</w:t>
                  </w:r>
                </w:p>
                <w:p>
                  <w:pPr>
                    <w:spacing w:line="191" w:lineRule="exact" w:before="0"/>
                    <w:ind w:left="461" w:right="0" w:firstLine="0"/>
                    <w:jc w:val="both"/>
                    <w:rPr>
                      <w:rFonts w:ascii="Calibri" w:hAnsi="Calibri"/>
                      <w:sz w:val="18"/>
                    </w:rPr>
                  </w:pPr>
                  <w:r>
                    <w:rPr>
                      <w:rFonts w:ascii="Calibri" w:hAnsi="Calibri"/>
                      <w:sz w:val="20"/>
                    </w:rPr>
                    <w:t>1. </w:t>
                  </w:r>
                  <w:r>
                    <w:rPr>
                      <w:rFonts w:ascii="Calibri" w:hAnsi="Calibri"/>
                      <w:sz w:val="18"/>
                    </w:rPr>
                    <w:t>El y la oferente deberán indicar un único plazo de entrega el cual se verá suspendido al momento en que el adjudicatario haga la</w:t>
                  </w:r>
                </w:p>
                <w:p>
                  <w:pPr>
                    <w:spacing w:line="240" w:lineRule="auto" w:before="0"/>
                    <w:ind w:left="821" w:right="102" w:firstLine="0"/>
                    <w:jc w:val="both"/>
                    <w:rPr>
                      <w:rFonts w:ascii="Calibri" w:hAnsi="Calibri"/>
                      <w:sz w:val="18"/>
                    </w:rPr>
                  </w:pPr>
                  <w:r>
                    <w:rPr>
                      <w:rFonts w:ascii="Calibri" w:hAnsi="Calibri"/>
                      <w:sz w:val="18"/>
                    </w:rPr>
                    <w:t>entrega de todos los documentos requeridos para el trámite de la exoneración y seguirá contando a partir del día hábil siguiente en que la Administración entregue al contratista la nota de exoneración debidamente aprobada por el Ministerio de Hacienda. Se aclara que cuando el adjudicatario o adjudicataria requiera que se endose la factura o la guía de transporte y se deban firmar cesiones de derecho,</w:t>
                  </w:r>
                  <w:r>
                    <w:rPr>
                      <w:rFonts w:ascii="Calibri" w:hAnsi="Calibri"/>
                      <w:spacing w:val="-4"/>
                      <w:sz w:val="18"/>
                    </w:rPr>
                    <w:t> </w:t>
                  </w:r>
                  <w:r>
                    <w:rPr>
                      <w:rFonts w:ascii="Calibri" w:hAnsi="Calibri"/>
                      <w:sz w:val="18"/>
                    </w:rPr>
                    <w:t>las</w:t>
                  </w:r>
                  <w:r>
                    <w:rPr>
                      <w:rFonts w:ascii="Calibri" w:hAnsi="Calibri"/>
                      <w:spacing w:val="-4"/>
                      <w:sz w:val="18"/>
                    </w:rPr>
                    <w:t> </w:t>
                  </w:r>
                  <w:r>
                    <w:rPr>
                      <w:rFonts w:ascii="Calibri" w:hAnsi="Calibri"/>
                      <w:sz w:val="18"/>
                    </w:rPr>
                    <w:t>mismas</w:t>
                  </w:r>
                  <w:r>
                    <w:rPr>
                      <w:rFonts w:ascii="Calibri" w:hAnsi="Calibri"/>
                      <w:spacing w:val="-4"/>
                      <w:sz w:val="18"/>
                    </w:rPr>
                    <w:t> </w:t>
                  </w:r>
                  <w:r>
                    <w:rPr>
                      <w:rFonts w:ascii="Calibri" w:hAnsi="Calibri"/>
                      <w:sz w:val="18"/>
                    </w:rPr>
                    <w:t>deberán</w:t>
                  </w:r>
                  <w:r>
                    <w:rPr>
                      <w:rFonts w:ascii="Calibri" w:hAnsi="Calibri"/>
                      <w:spacing w:val="-6"/>
                      <w:sz w:val="18"/>
                    </w:rPr>
                    <w:t> </w:t>
                  </w:r>
                  <w:r>
                    <w:rPr>
                      <w:rFonts w:ascii="Calibri" w:hAnsi="Calibri"/>
                      <w:sz w:val="18"/>
                    </w:rPr>
                    <w:t>adjuntarse</w:t>
                  </w:r>
                  <w:r>
                    <w:rPr>
                      <w:rFonts w:ascii="Calibri" w:hAnsi="Calibri"/>
                      <w:spacing w:val="-5"/>
                      <w:sz w:val="18"/>
                    </w:rPr>
                    <w:t> </w:t>
                  </w:r>
                  <w:r>
                    <w:rPr>
                      <w:rFonts w:ascii="Calibri" w:hAnsi="Calibri"/>
                      <w:sz w:val="18"/>
                    </w:rPr>
                    <w:t>a</w:t>
                  </w:r>
                  <w:r>
                    <w:rPr>
                      <w:rFonts w:ascii="Calibri" w:hAnsi="Calibri"/>
                      <w:spacing w:val="-4"/>
                      <w:sz w:val="18"/>
                    </w:rPr>
                    <w:t> </w:t>
                  </w:r>
                  <w:r>
                    <w:rPr>
                      <w:rFonts w:ascii="Calibri" w:hAnsi="Calibri"/>
                      <w:sz w:val="18"/>
                    </w:rPr>
                    <w:t>los</w:t>
                  </w:r>
                  <w:r>
                    <w:rPr>
                      <w:rFonts w:ascii="Calibri" w:hAnsi="Calibri"/>
                      <w:spacing w:val="-6"/>
                      <w:sz w:val="18"/>
                    </w:rPr>
                    <w:t> </w:t>
                  </w:r>
                  <w:r>
                    <w:rPr>
                      <w:rFonts w:ascii="Calibri" w:hAnsi="Calibri"/>
                      <w:sz w:val="18"/>
                    </w:rPr>
                    <w:t>documentos</w:t>
                  </w:r>
                  <w:r>
                    <w:rPr>
                      <w:rFonts w:ascii="Calibri" w:hAnsi="Calibri"/>
                      <w:spacing w:val="-5"/>
                      <w:sz w:val="18"/>
                    </w:rPr>
                    <w:t> </w:t>
                  </w:r>
                  <w:r>
                    <w:rPr>
                      <w:rFonts w:ascii="Calibri" w:hAnsi="Calibri"/>
                      <w:sz w:val="18"/>
                    </w:rPr>
                    <w:t>presentados</w:t>
                  </w:r>
                  <w:r>
                    <w:rPr>
                      <w:rFonts w:ascii="Calibri" w:hAnsi="Calibri"/>
                      <w:spacing w:val="-5"/>
                      <w:sz w:val="18"/>
                    </w:rPr>
                    <w:t> </w:t>
                  </w:r>
                  <w:r>
                    <w:rPr>
                      <w:rFonts w:ascii="Calibri" w:hAnsi="Calibri"/>
                      <w:sz w:val="18"/>
                    </w:rPr>
                    <w:t>para</w:t>
                  </w:r>
                  <w:r>
                    <w:rPr>
                      <w:rFonts w:ascii="Calibri" w:hAnsi="Calibri"/>
                      <w:spacing w:val="-4"/>
                      <w:sz w:val="18"/>
                    </w:rPr>
                    <w:t> </w:t>
                  </w:r>
                  <w:r>
                    <w:rPr>
                      <w:rFonts w:ascii="Calibri" w:hAnsi="Calibri"/>
                      <w:sz w:val="18"/>
                    </w:rPr>
                    <w:t>el</w:t>
                  </w:r>
                  <w:r>
                    <w:rPr>
                      <w:rFonts w:ascii="Calibri" w:hAnsi="Calibri"/>
                      <w:spacing w:val="-5"/>
                      <w:sz w:val="18"/>
                    </w:rPr>
                    <w:t> </w:t>
                  </w:r>
                  <w:r>
                    <w:rPr>
                      <w:rFonts w:ascii="Calibri" w:hAnsi="Calibri"/>
                      <w:sz w:val="18"/>
                    </w:rPr>
                    <w:t>trámite</w:t>
                  </w:r>
                  <w:r>
                    <w:rPr>
                      <w:rFonts w:ascii="Calibri" w:hAnsi="Calibri"/>
                      <w:spacing w:val="-3"/>
                      <w:sz w:val="18"/>
                    </w:rPr>
                    <w:t> </w:t>
                  </w:r>
                  <w:r>
                    <w:rPr>
                      <w:rFonts w:ascii="Calibri" w:hAnsi="Calibri"/>
                      <w:sz w:val="18"/>
                    </w:rPr>
                    <w:t>de</w:t>
                  </w:r>
                  <w:r>
                    <w:rPr>
                      <w:rFonts w:ascii="Calibri" w:hAnsi="Calibri"/>
                      <w:spacing w:val="-5"/>
                      <w:sz w:val="18"/>
                    </w:rPr>
                    <w:t> </w:t>
                  </w:r>
                  <w:r>
                    <w:rPr>
                      <w:rFonts w:ascii="Calibri" w:hAnsi="Calibri"/>
                      <w:sz w:val="18"/>
                    </w:rPr>
                    <w:t>exoneración,</w:t>
                  </w:r>
                  <w:r>
                    <w:rPr>
                      <w:rFonts w:ascii="Calibri" w:hAnsi="Calibri"/>
                      <w:spacing w:val="-4"/>
                      <w:sz w:val="18"/>
                    </w:rPr>
                    <w:t> </w:t>
                  </w:r>
                  <w:r>
                    <w:rPr>
                      <w:rFonts w:ascii="Calibri" w:hAnsi="Calibri"/>
                      <w:sz w:val="18"/>
                    </w:rPr>
                    <w:t>con</w:t>
                  </w:r>
                  <w:r>
                    <w:rPr>
                      <w:rFonts w:ascii="Calibri" w:hAnsi="Calibri"/>
                      <w:spacing w:val="-5"/>
                      <w:sz w:val="18"/>
                    </w:rPr>
                    <w:t> </w:t>
                  </w:r>
                  <w:r>
                    <w:rPr>
                      <w:rFonts w:ascii="Calibri" w:hAnsi="Calibri"/>
                      <w:sz w:val="18"/>
                    </w:rPr>
                    <w:t>el</w:t>
                  </w:r>
                  <w:r>
                    <w:rPr>
                      <w:rFonts w:ascii="Calibri" w:hAnsi="Calibri"/>
                      <w:spacing w:val="-4"/>
                      <w:sz w:val="18"/>
                    </w:rPr>
                    <w:t> </w:t>
                  </w:r>
                  <w:r>
                    <w:rPr>
                      <w:rFonts w:ascii="Calibri" w:hAnsi="Calibri"/>
                      <w:sz w:val="18"/>
                    </w:rPr>
                    <w:t>fin</w:t>
                  </w:r>
                  <w:r>
                    <w:rPr>
                      <w:rFonts w:ascii="Calibri" w:hAnsi="Calibri"/>
                      <w:spacing w:val="-5"/>
                      <w:sz w:val="18"/>
                    </w:rPr>
                    <w:t> </w:t>
                  </w:r>
                  <w:r>
                    <w:rPr>
                      <w:rFonts w:ascii="Calibri" w:hAnsi="Calibri"/>
                      <w:sz w:val="18"/>
                    </w:rPr>
                    <w:t>de</w:t>
                  </w:r>
                  <w:r>
                    <w:rPr>
                      <w:rFonts w:ascii="Calibri" w:hAnsi="Calibri"/>
                      <w:spacing w:val="-3"/>
                      <w:sz w:val="18"/>
                    </w:rPr>
                    <w:t> </w:t>
                  </w:r>
                  <w:r>
                    <w:rPr>
                      <w:rFonts w:ascii="Calibri" w:hAnsi="Calibri"/>
                      <w:sz w:val="18"/>
                    </w:rPr>
                    <w:t>que</w:t>
                  </w:r>
                  <w:r>
                    <w:rPr>
                      <w:rFonts w:ascii="Calibri" w:hAnsi="Calibri"/>
                      <w:spacing w:val="-2"/>
                      <w:sz w:val="18"/>
                    </w:rPr>
                    <w:t> </w:t>
                  </w:r>
                  <w:r>
                    <w:rPr>
                      <w:rFonts w:ascii="Calibri" w:hAnsi="Calibri"/>
                      <w:sz w:val="18"/>
                    </w:rPr>
                    <w:t>una</w:t>
                  </w:r>
                  <w:r>
                    <w:rPr>
                      <w:rFonts w:ascii="Calibri" w:hAnsi="Calibri"/>
                      <w:spacing w:val="-4"/>
                      <w:sz w:val="18"/>
                    </w:rPr>
                    <w:t> </w:t>
                  </w:r>
                  <w:r>
                    <w:rPr>
                      <w:rFonts w:ascii="Calibri" w:hAnsi="Calibri"/>
                      <w:sz w:val="18"/>
                    </w:rPr>
                    <w:t>vez</w:t>
                  </w:r>
                  <w:r>
                    <w:rPr>
                      <w:rFonts w:ascii="Calibri" w:hAnsi="Calibri"/>
                      <w:spacing w:val="3"/>
                      <w:sz w:val="18"/>
                    </w:rPr>
                    <w:t> </w:t>
                  </w:r>
                  <w:r>
                    <w:rPr>
                      <w:rFonts w:ascii="Calibri" w:hAnsi="Calibri"/>
                      <w:sz w:val="18"/>
                    </w:rPr>
                    <w:t>listo dicho</w:t>
                  </w:r>
                  <w:r>
                    <w:rPr>
                      <w:rFonts w:ascii="Calibri" w:hAnsi="Calibri"/>
                      <w:spacing w:val="-4"/>
                      <w:sz w:val="18"/>
                    </w:rPr>
                    <w:t> </w:t>
                  </w:r>
                  <w:r>
                    <w:rPr>
                      <w:rFonts w:ascii="Calibri" w:hAnsi="Calibri"/>
                      <w:sz w:val="18"/>
                    </w:rPr>
                    <w:t>trámite</w:t>
                  </w:r>
                  <w:r>
                    <w:rPr>
                      <w:rFonts w:ascii="Calibri" w:hAnsi="Calibri"/>
                      <w:spacing w:val="-6"/>
                      <w:sz w:val="18"/>
                    </w:rPr>
                    <w:t> </w:t>
                  </w:r>
                  <w:r>
                    <w:rPr>
                      <w:rFonts w:ascii="Calibri" w:hAnsi="Calibri"/>
                      <w:sz w:val="18"/>
                    </w:rPr>
                    <w:t>se</w:t>
                  </w:r>
                  <w:r>
                    <w:rPr>
                      <w:rFonts w:ascii="Calibri" w:hAnsi="Calibri"/>
                      <w:spacing w:val="-6"/>
                      <w:sz w:val="18"/>
                    </w:rPr>
                    <w:t> </w:t>
                  </w:r>
                  <w:r>
                    <w:rPr>
                      <w:rFonts w:ascii="Calibri" w:hAnsi="Calibri"/>
                      <w:sz w:val="18"/>
                    </w:rPr>
                    <w:t>retiren</w:t>
                  </w:r>
                  <w:r>
                    <w:rPr>
                      <w:rFonts w:ascii="Calibri" w:hAnsi="Calibri"/>
                      <w:spacing w:val="-3"/>
                      <w:sz w:val="18"/>
                    </w:rPr>
                    <w:t> </w:t>
                  </w:r>
                  <w:r>
                    <w:rPr>
                      <w:rFonts w:ascii="Calibri" w:hAnsi="Calibri"/>
                      <w:sz w:val="18"/>
                    </w:rPr>
                    <w:t>debidamente</w:t>
                  </w:r>
                  <w:r>
                    <w:rPr>
                      <w:rFonts w:ascii="Calibri" w:hAnsi="Calibri"/>
                      <w:spacing w:val="-6"/>
                      <w:sz w:val="18"/>
                    </w:rPr>
                    <w:t> </w:t>
                  </w:r>
                  <w:r>
                    <w:rPr>
                      <w:rFonts w:ascii="Calibri" w:hAnsi="Calibri"/>
                      <w:sz w:val="18"/>
                    </w:rPr>
                    <w:t>firmados.</w:t>
                  </w:r>
                  <w:r>
                    <w:rPr>
                      <w:rFonts w:ascii="Calibri" w:hAnsi="Calibri"/>
                      <w:spacing w:val="-5"/>
                      <w:sz w:val="18"/>
                    </w:rPr>
                    <w:t> </w:t>
                  </w:r>
                  <w:r>
                    <w:rPr>
                      <w:rFonts w:ascii="Calibri" w:hAnsi="Calibri"/>
                      <w:sz w:val="18"/>
                    </w:rPr>
                    <w:t>Caso</w:t>
                  </w:r>
                  <w:r>
                    <w:rPr>
                      <w:rFonts w:ascii="Calibri" w:hAnsi="Calibri"/>
                      <w:spacing w:val="-4"/>
                      <w:sz w:val="18"/>
                    </w:rPr>
                    <w:t> </w:t>
                  </w:r>
                  <w:r>
                    <w:rPr>
                      <w:rFonts w:ascii="Calibri" w:hAnsi="Calibri"/>
                      <w:sz w:val="18"/>
                    </w:rPr>
                    <w:t>contrario,</w:t>
                  </w:r>
                  <w:r>
                    <w:rPr>
                      <w:rFonts w:ascii="Calibri" w:hAnsi="Calibri"/>
                      <w:spacing w:val="-3"/>
                      <w:sz w:val="18"/>
                    </w:rPr>
                    <w:t> </w:t>
                  </w:r>
                  <w:r>
                    <w:rPr>
                      <w:rFonts w:ascii="Calibri" w:hAnsi="Calibri"/>
                      <w:sz w:val="18"/>
                    </w:rPr>
                    <w:t>no</w:t>
                  </w:r>
                  <w:r>
                    <w:rPr>
                      <w:rFonts w:ascii="Calibri" w:hAnsi="Calibri"/>
                      <w:spacing w:val="-4"/>
                      <w:sz w:val="18"/>
                    </w:rPr>
                    <w:t> </w:t>
                  </w:r>
                  <w:r>
                    <w:rPr>
                      <w:rFonts w:ascii="Calibri" w:hAnsi="Calibri"/>
                      <w:sz w:val="18"/>
                    </w:rPr>
                    <w:t>se</w:t>
                  </w:r>
                  <w:r>
                    <w:rPr>
                      <w:rFonts w:ascii="Calibri" w:hAnsi="Calibri"/>
                      <w:spacing w:val="-6"/>
                      <w:sz w:val="18"/>
                    </w:rPr>
                    <w:t> </w:t>
                  </w:r>
                  <w:r>
                    <w:rPr>
                      <w:rFonts w:ascii="Calibri" w:hAnsi="Calibri"/>
                      <w:sz w:val="18"/>
                    </w:rPr>
                    <w:t>suspenderá</w:t>
                  </w:r>
                  <w:r>
                    <w:rPr>
                      <w:rFonts w:ascii="Calibri" w:hAnsi="Calibri"/>
                      <w:spacing w:val="-5"/>
                      <w:sz w:val="18"/>
                    </w:rPr>
                    <w:t> </w:t>
                  </w:r>
                  <w:r>
                    <w:rPr>
                      <w:rFonts w:ascii="Calibri" w:hAnsi="Calibri"/>
                      <w:sz w:val="18"/>
                    </w:rPr>
                    <w:t>el</w:t>
                  </w:r>
                  <w:r>
                    <w:rPr>
                      <w:rFonts w:ascii="Calibri" w:hAnsi="Calibri"/>
                      <w:spacing w:val="-3"/>
                      <w:sz w:val="18"/>
                    </w:rPr>
                    <w:t> </w:t>
                  </w:r>
                  <w:r>
                    <w:rPr>
                      <w:rFonts w:ascii="Calibri" w:hAnsi="Calibri"/>
                      <w:sz w:val="18"/>
                    </w:rPr>
                    <w:t>plazo</w:t>
                  </w:r>
                  <w:r>
                    <w:rPr>
                      <w:rFonts w:ascii="Calibri" w:hAnsi="Calibri"/>
                      <w:spacing w:val="-4"/>
                      <w:sz w:val="18"/>
                    </w:rPr>
                    <w:t> </w:t>
                  </w:r>
                  <w:r>
                    <w:rPr>
                      <w:rFonts w:ascii="Calibri" w:hAnsi="Calibri"/>
                      <w:sz w:val="18"/>
                    </w:rPr>
                    <w:t>de</w:t>
                  </w:r>
                  <w:r>
                    <w:rPr>
                      <w:rFonts w:ascii="Calibri" w:hAnsi="Calibri"/>
                      <w:spacing w:val="-6"/>
                      <w:sz w:val="18"/>
                    </w:rPr>
                    <w:t> </w:t>
                  </w:r>
                  <w:r>
                    <w:rPr>
                      <w:rFonts w:ascii="Calibri" w:hAnsi="Calibri"/>
                      <w:sz w:val="18"/>
                    </w:rPr>
                    <w:t>entrega</w:t>
                  </w:r>
                  <w:r>
                    <w:rPr>
                      <w:rFonts w:ascii="Calibri" w:hAnsi="Calibri"/>
                      <w:spacing w:val="-4"/>
                      <w:sz w:val="18"/>
                    </w:rPr>
                    <w:t> </w:t>
                  </w:r>
                  <w:r>
                    <w:rPr>
                      <w:rFonts w:ascii="Calibri" w:hAnsi="Calibri"/>
                      <w:sz w:val="18"/>
                    </w:rPr>
                    <w:t>de</w:t>
                  </w:r>
                  <w:r>
                    <w:rPr>
                      <w:rFonts w:ascii="Calibri" w:hAnsi="Calibri"/>
                      <w:spacing w:val="-6"/>
                      <w:sz w:val="18"/>
                    </w:rPr>
                    <w:t> </w:t>
                  </w:r>
                  <w:r>
                    <w:rPr>
                      <w:rFonts w:ascii="Calibri" w:hAnsi="Calibri"/>
                      <w:sz w:val="18"/>
                    </w:rPr>
                    <w:t>requerir</w:t>
                  </w:r>
                  <w:r>
                    <w:rPr>
                      <w:rFonts w:ascii="Calibri" w:hAnsi="Calibri"/>
                      <w:spacing w:val="-5"/>
                      <w:sz w:val="18"/>
                    </w:rPr>
                    <w:t> </w:t>
                  </w:r>
                  <w:r>
                    <w:rPr>
                      <w:rFonts w:ascii="Calibri" w:hAnsi="Calibri"/>
                      <w:sz w:val="18"/>
                    </w:rPr>
                    <w:t>firmas</w:t>
                  </w:r>
                  <w:r>
                    <w:rPr>
                      <w:rFonts w:ascii="Calibri" w:hAnsi="Calibri"/>
                      <w:spacing w:val="-5"/>
                      <w:sz w:val="18"/>
                    </w:rPr>
                    <w:t> </w:t>
                  </w:r>
                  <w:r>
                    <w:rPr>
                      <w:rFonts w:ascii="Calibri" w:hAnsi="Calibri"/>
                      <w:sz w:val="18"/>
                    </w:rPr>
                    <w:t>adicionales</w:t>
                  </w:r>
                  <w:r>
                    <w:rPr>
                      <w:rFonts w:ascii="Calibri" w:hAnsi="Calibri"/>
                      <w:spacing w:val="-6"/>
                      <w:sz w:val="18"/>
                    </w:rPr>
                    <w:t> </w:t>
                  </w:r>
                  <w:r>
                    <w:rPr>
                      <w:rFonts w:ascii="Calibri" w:hAnsi="Calibri"/>
                      <w:sz w:val="18"/>
                    </w:rPr>
                    <w:t>al trámite normal de la exoneración. En todo caso se aclara que el plazo de entrega propuesto en la oferta no deberá contemplar el tiempo que demanda la Administración en llevar a cabo estos</w:t>
                  </w:r>
                  <w:r>
                    <w:rPr>
                      <w:rFonts w:ascii="Calibri" w:hAnsi="Calibri"/>
                      <w:spacing w:val="-7"/>
                      <w:sz w:val="18"/>
                    </w:rPr>
                    <w:t> </w:t>
                  </w:r>
                  <w:r>
                    <w:rPr>
                      <w:rFonts w:ascii="Calibri" w:hAnsi="Calibri"/>
                      <w:sz w:val="18"/>
                    </w:rPr>
                    <w:t>trámites.</w:t>
                  </w:r>
                </w:p>
                <w:p>
                  <w:pPr>
                    <w:spacing w:before="0"/>
                    <w:ind w:left="821" w:right="0" w:firstLine="0"/>
                    <w:jc w:val="both"/>
                    <w:rPr>
                      <w:rFonts w:ascii="Calibri" w:hAnsi="Calibri"/>
                      <w:sz w:val="18"/>
                    </w:rPr>
                  </w:pPr>
                  <w:r>
                    <w:rPr>
                      <w:rFonts w:ascii="Calibri" w:hAnsi="Calibri"/>
                      <w:sz w:val="18"/>
                    </w:rPr>
                    <w:t>En caso de que no se marque ninguna opción se dará por entendido que no requiere exoneración de impuestos.</w:t>
                  </w:r>
                </w:p>
                <w:p>
                  <w:pPr>
                    <w:pStyle w:val="BodyText"/>
                    <w:spacing w:before="11"/>
                    <w:rPr>
                      <w:sz w:val="23"/>
                    </w:rPr>
                  </w:pPr>
                </w:p>
                <w:p>
                  <w:pPr>
                    <w:spacing w:before="0"/>
                    <w:ind w:left="100" w:right="105" w:firstLine="0"/>
                    <w:jc w:val="both"/>
                    <w:rPr>
                      <w:rFonts w:ascii="Calibri" w:hAnsi="Calibri"/>
                      <w:b/>
                      <w:sz w:val="20"/>
                    </w:rPr>
                  </w:pPr>
                  <w:r>
                    <w:rPr>
                      <w:rFonts w:ascii="Calibri" w:hAnsi="Calibri"/>
                      <w:sz w:val="18"/>
                    </w:rPr>
                    <w:t>El detalle del trámite de exoneración de impuestos de nacionalización y el trámite del pago al pedido del exterior se encuentran disponibles en la </w:t>
                  </w:r>
                  <w:hyperlink r:id="rId8">
                    <w:r>
                      <w:rPr>
                        <w:rFonts w:ascii="Calibri" w:hAnsi="Calibri"/>
                        <w:b/>
                        <w:color w:val="0000FF"/>
                        <w:sz w:val="18"/>
                        <w:u w:val="single" w:color="0000FF"/>
                      </w:rPr>
                      <w:t>https://www.poder-</w:t>
                    </w:r>
                    <w:r>
                      <w:rPr>
                        <w:rFonts w:ascii="Calibri" w:hAnsi="Calibri"/>
                        <w:b/>
                        <w:color w:val="0000FF"/>
                        <w:sz w:val="20"/>
                        <w:u w:val="single" w:color="0000FF"/>
                      </w:rPr>
                      <w:t>judicial.go.cr/proveeduria</w:t>
                    </w:r>
                    <w:r>
                      <w:rPr>
                        <w:rFonts w:ascii="Calibri" w:hAnsi="Calibri"/>
                        <w:sz w:val="20"/>
                      </w:rPr>
                      <w:t>,</w:t>
                    </w:r>
                  </w:hyperlink>
                  <w:r>
                    <w:rPr>
                      <w:rFonts w:ascii="Calibri" w:hAnsi="Calibri"/>
                      <w:sz w:val="20"/>
                    </w:rPr>
                    <w:t> en</w:t>
                  </w:r>
                  <w:r>
                    <w:rPr>
                      <w:rFonts w:ascii="Calibri" w:hAnsi="Calibri"/>
                      <w:sz w:val="20"/>
                      <w:shd w:fill="FFFF00" w:color="auto" w:val="clear"/>
                    </w:rPr>
                    <w:t> “Consultas y Servicios”,</w:t>
                  </w:r>
                  <w:r>
                    <w:rPr>
                      <w:rFonts w:ascii="Calibri" w:hAnsi="Calibri"/>
                      <w:sz w:val="20"/>
                    </w:rPr>
                    <w:t> apartado de </w:t>
                  </w:r>
                  <w:r>
                    <w:rPr>
                      <w:rFonts w:ascii="Calibri" w:hAnsi="Calibri"/>
                      <w:b/>
                      <w:sz w:val="20"/>
                    </w:rPr>
                    <w:t>Información de interés para los proveedores.</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3"/>
        <w:rPr>
          <w:sz w:val="25"/>
        </w:rPr>
      </w:pPr>
    </w:p>
    <w:p>
      <w:pPr>
        <w:pStyle w:val="BodyText"/>
        <w:spacing w:before="92"/>
        <w:ind w:left="205"/>
        <w:jc w:val="center"/>
      </w:pPr>
      <w:r>
        <w:rPr/>
        <w:t>Nombre y firma del oferente o su Representante legal</w:t>
      </w:r>
    </w:p>
    <w:p>
      <w:pPr>
        <w:pStyle w:val="BodyText"/>
        <w:rPr>
          <w:sz w:val="20"/>
        </w:rPr>
      </w:pPr>
    </w:p>
    <w:p>
      <w:pPr>
        <w:pStyle w:val="BodyText"/>
        <w:rPr>
          <w:sz w:val="18"/>
        </w:rPr>
      </w:pPr>
    </w:p>
    <w:p>
      <w:pPr>
        <w:spacing w:after="0"/>
        <w:rPr>
          <w:sz w:val="18"/>
        </w:rPr>
        <w:sectPr>
          <w:pgSz w:w="12250" w:h="15850"/>
          <w:pgMar w:header="720" w:footer="1363" w:top="1560" w:bottom="1560" w:left="620" w:right="620"/>
        </w:sectPr>
      </w:pPr>
    </w:p>
    <w:p>
      <w:pPr>
        <w:spacing w:before="103"/>
        <w:ind w:left="4148" w:right="0" w:firstLine="0"/>
        <w:jc w:val="left"/>
        <w:rPr>
          <w:rFonts w:ascii="Calibri"/>
          <w:sz w:val="20"/>
        </w:rPr>
      </w:pPr>
      <w:r>
        <w:rPr/>
        <w:pict>
          <v:shape style="position:absolute;margin-left:286.486145pt;margin-top:6.02337pt;width:49.1pt;height:48.75pt;mso-position-horizontal-relative:page;mso-position-vertical-relative:paragraph;z-index:-252072960" coordorigin="5730,120" coordsize="982,975" path="m5907,889l5821,945,5767,999,5738,1045,5730,1079,5736,1092,5742,1095,5808,1095,5810,1093,5749,1093,5757,1057,5789,1006,5841,947,5907,889xm6150,120l6130,134,6120,164,6116,198,6116,222,6116,244,6118,268,6122,293,6126,319,6131,346,6136,373,6142,400,6150,427,6143,455,6126,505,6099,573,6065,652,6024,737,5979,824,5931,907,5883,981,5835,1040,5790,1079,5749,1093,5810,1093,5844,1069,5889,1020,5942,947,6003,849,6012,846,6003,846,6061,740,6104,653,6134,584,6154,528,6168,482,6203,482,6181,424,6188,373,6168,373,6156,330,6148,287,6144,247,6143,211,6143,196,6145,171,6151,144,6164,126,6188,126,6175,121,6150,120xm6701,844l6673,844,6662,854,6662,881,6673,891,6701,891,6706,886,6676,886,6667,878,6667,857,6676,849,6706,849,6701,844xm6706,849l6698,849,6705,857,6705,878,6698,886,6706,886,6711,881,6711,854,6706,849xm6693,852l6677,852,6677,881,6682,881,6682,870,6695,870,6694,869,6691,868,6697,866,6682,866,6682,858,6697,858,6696,856,6693,852xm6695,870l6688,870,6690,873,6691,876,6692,881,6697,881,6696,876,6696,872,6695,870xm6697,858l6689,858,6691,859,6691,865,6688,866,6697,866,6697,862,6697,858xm6203,482l6168,482,6222,591,6278,664,6330,711,6373,739,6301,753,6227,771,6151,792,6076,817,6003,846,6012,846,6077,826,6157,806,6241,788,6326,775,6410,764,6485,764,6469,757,6536,754,6691,754,6665,740,6628,732,6425,732,6401,719,6378,705,6356,690,6335,674,6285,624,6243,563,6208,496,6203,482xm6485,764l6410,764,6475,794,6540,816,6600,830,6649,835,6670,834,6686,830,6696,823,6698,819,6670,819,6631,815,6582,802,6527,783,6485,764xm6701,812l6694,815,6683,819,6698,819,6701,812xm6691,754l6536,754,6615,756,6680,770,6705,801,6708,794,6711,791,6711,784,6699,759,6691,754xm6545,725l6518,726,6489,728,6425,732,6628,732,6612,729,6545,725xm6198,202l6192,232,6186,270,6178,317,6168,373,6188,373,6189,367,6193,312,6196,258,6198,202xm6188,126l6164,126,6174,133,6185,144,6193,161,6198,184,6201,147,6193,128,6188,126xe" filled="true" fillcolor="#ffd8d8" stroked="false">
            <v:path arrowok="t"/>
            <v:fill type="solid"/>
            <w10:wrap type="none"/>
          </v:shape>
        </w:pict>
      </w:r>
      <w:r>
        <w:rPr>
          <w:rFonts w:ascii="Calibri"/>
          <w:w w:val="105"/>
          <w:sz w:val="20"/>
        </w:rPr>
        <w:t>JEHUDIT </w:t>
      </w:r>
      <w:r>
        <w:rPr>
          <w:rFonts w:ascii="Calibri"/>
          <w:sz w:val="20"/>
        </w:rPr>
        <w:t>NATURMAN </w:t>
      </w:r>
      <w:r>
        <w:rPr>
          <w:rFonts w:ascii="Calibri"/>
          <w:w w:val="105"/>
          <w:sz w:val="20"/>
        </w:rPr>
        <w:t>STENBERG (FIRMA)</w:t>
      </w:r>
    </w:p>
    <w:p>
      <w:pPr>
        <w:pStyle w:val="BodyText"/>
        <w:spacing w:before="10"/>
        <w:rPr>
          <w:rFonts w:ascii="Calibri"/>
          <w:sz w:val="15"/>
        </w:rPr>
      </w:pPr>
      <w:r>
        <w:rPr/>
        <w:br w:type="column"/>
      </w:r>
      <w:r>
        <w:rPr>
          <w:rFonts w:ascii="Calibri"/>
          <w:sz w:val="15"/>
        </w:rPr>
      </w:r>
    </w:p>
    <w:p>
      <w:pPr>
        <w:spacing w:line="244" w:lineRule="auto" w:before="0"/>
        <w:ind w:left="414" w:right="3967" w:firstLine="0"/>
        <w:jc w:val="left"/>
        <w:rPr>
          <w:rFonts w:ascii="Calibri"/>
          <w:sz w:val="13"/>
        </w:rPr>
      </w:pPr>
      <w:r>
        <w:rPr>
          <w:rFonts w:ascii="Calibri"/>
          <w:w w:val="105"/>
          <w:sz w:val="13"/>
        </w:rPr>
        <w:t>Firmado  digitalmente por JEHUDIT </w:t>
      </w:r>
      <w:r>
        <w:rPr>
          <w:rFonts w:ascii="Calibri"/>
          <w:spacing w:val="-3"/>
          <w:w w:val="105"/>
          <w:sz w:val="13"/>
        </w:rPr>
        <w:t>NATURMAN </w:t>
      </w:r>
      <w:r>
        <w:rPr>
          <w:rFonts w:ascii="Calibri"/>
          <w:w w:val="105"/>
          <w:sz w:val="13"/>
        </w:rPr>
        <w:t>STENBERG (FIRMA) Fecha:</w:t>
      </w:r>
      <w:r>
        <w:rPr>
          <w:rFonts w:ascii="Calibri"/>
          <w:spacing w:val="-4"/>
          <w:w w:val="105"/>
          <w:sz w:val="13"/>
        </w:rPr>
        <w:t> </w:t>
      </w:r>
      <w:r>
        <w:rPr>
          <w:rFonts w:ascii="Calibri"/>
          <w:w w:val="105"/>
          <w:sz w:val="13"/>
        </w:rPr>
        <w:t>2020.02.03</w:t>
      </w:r>
    </w:p>
    <w:p>
      <w:pPr>
        <w:spacing w:line="158" w:lineRule="exact" w:before="0"/>
        <w:ind w:left="414" w:right="0" w:firstLine="0"/>
        <w:jc w:val="left"/>
        <w:rPr>
          <w:rFonts w:ascii="Calibri"/>
          <w:sz w:val="13"/>
        </w:rPr>
      </w:pPr>
      <w:r>
        <w:rPr>
          <w:rFonts w:ascii="Calibri"/>
          <w:sz w:val="13"/>
        </w:rPr>
        <w:t>11:39:03 -06'00'</w:t>
      </w:r>
    </w:p>
    <w:p>
      <w:pPr>
        <w:spacing w:after="0" w:line="158" w:lineRule="exact"/>
        <w:jc w:val="left"/>
        <w:rPr>
          <w:rFonts w:ascii="Calibri"/>
          <w:sz w:val="13"/>
        </w:rPr>
        <w:sectPr>
          <w:type w:val="continuous"/>
          <w:pgSz w:w="12250" w:h="15850"/>
          <w:pgMar w:top="1560" w:bottom="1560" w:left="620" w:right="620"/>
          <w:cols w:num="2" w:equalWidth="0">
            <w:col w:w="5172" w:space="40"/>
            <w:col w:w="5798"/>
          </w:cols>
        </w:sectPr>
      </w:pPr>
    </w:p>
    <w:p>
      <w:pPr>
        <w:pStyle w:val="BodyText"/>
        <w:rPr>
          <w:rFonts w:ascii="Calibri"/>
          <w:sz w:val="20"/>
        </w:rPr>
      </w:pPr>
    </w:p>
    <w:p>
      <w:pPr>
        <w:pStyle w:val="BodyText"/>
        <w:spacing w:before="2"/>
        <w:rPr>
          <w:rFonts w:ascii="Calibri"/>
          <w:sz w:val="29"/>
        </w:rPr>
      </w:pPr>
    </w:p>
    <w:p>
      <w:pPr>
        <w:pStyle w:val="BodyText"/>
        <w:tabs>
          <w:tab w:pos="1198" w:val="left" w:leader="none"/>
          <w:tab w:pos="2991" w:val="left" w:leader="none"/>
        </w:tabs>
        <w:spacing w:before="92"/>
        <w:ind w:left="62"/>
        <w:jc w:val="center"/>
      </w:pPr>
      <w:r>
        <w:rPr/>
        <w:drawing>
          <wp:anchor distT="0" distB="0" distL="0" distR="0" allowOverlap="1" layoutInCell="1" locked="0" behindDoc="1" simplePos="0" relativeHeight="251244544">
            <wp:simplePos x="0" y="0"/>
            <wp:positionH relativeFrom="page">
              <wp:posOffset>4755860</wp:posOffset>
            </wp:positionH>
            <wp:positionV relativeFrom="paragraph">
              <wp:posOffset>146886</wp:posOffset>
            </wp:positionV>
            <wp:extent cx="100067" cy="7862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00067" cy="78623"/>
                    </a:xfrm>
                    <a:prstGeom prst="rect">
                      <a:avLst/>
                    </a:prstGeom>
                  </pic:spPr>
                </pic:pic>
              </a:graphicData>
            </a:graphic>
          </wp:anchor>
        </w:drawing>
      </w:r>
      <w:r>
        <w:rPr/>
        <w:t>Fecha:</w:t>
        <w:tab/>
      </w:r>
      <w:r>
        <w:rPr>
          <w:w w:val="100"/>
          <w:u w:val="single"/>
        </w:rPr>
        <w:t> </w:t>
      </w:r>
      <w:r>
        <w:rPr>
          <w:u w:val="single"/>
        </w:rPr>
        <w:tab/>
      </w:r>
    </w:p>
    <w:p>
      <w:pPr>
        <w:spacing w:after="0"/>
        <w:jc w:val="center"/>
        <w:sectPr>
          <w:type w:val="continuous"/>
          <w:pgSz w:w="12250" w:h="15850"/>
          <w:pgMar w:top="1560" w:bottom="1560" w:left="620" w:right="620"/>
        </w:sectPr>
      </w:pPr>
    </w:p>
    <w:p>
      <w:pPr>
        <w:pStyle w:val="BodyText"/>
        <w:rPr>
          <w:sz w:val="20"/>
        </w:rPr>
      </w:pPr>
    </w:p>
    <w:p>
      <w:pPr>
        <w:pStyle w:val="BodyText"/>
        <w:spacing w:before="10"/>
        <w:rPr>
          <w:sz w:val="15"/>
        </w:rPr>
      </w:pPr>
    </w:p>
    <w:p>
      <w:pPr>
        <w:pStyle w:val="Heading1"/>
        <w:spacing w:before="92"/>
        <w:ind w:left="1"/>
        <w:jc w:val="center"/>
      </w:pPr>
      <w:r>
        <w:rPr/>
        <w:t>OFERTA ECONOMICA</w:t>
      </w:r>
    </w:p>
    <w:p>
      <w:pPr>
        <w:pStyle w:val="BodyText"/>
        <w:spacing w:before="10"/>
        <w:rPr>
          <w:b/>
          <w:sz w:val="20"/>
        </w:rPr>
      </w:pPr>
      <w:r>
        <w:rPr/>
        <w:drawing>
          <wp:anchor distT="0" distB="0" distL="0" distR="0" allowOverlap="1" layoutInCell="1" locked="0" behindDoc="0" simplePos="0" relativeHeight="3">
            <wp:simplePos x="0" y="0"/>
            <wp:positionH relativeFrom="page">
              <wp:posOffset>1080135</wp:posOffset>
            </wp:positionH>
            <wp:positionV relativeFrom="paragraph">
              <wp:posOffset>177239</wp:posOffset>
            </wp:positionV>
            <wp:extent cx="5900602" cy="6630828"/>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5900602" cy="6630828"/>
                    </a:xfrm>
                    <a:prstGeom prst="rect">
                      <a:avLst/>
                    </a:prstGeom>
                  </pic:spPr>
                </pic:pic>
              </a:graphicData>
            </a:graphic>
          </wp:anchor>
        </w:drawing>
      </w:r>
    </w:p>
    <w:p>
      <w:pPr>
        <w:spacing w:after="0"/>
        <w:rPr>
          <w:sz w:val="20"/>
        </w:rPr>
        <w:sectPr>
          <w:pgSz w:w="12250" w:h="15850"/>
          <w:pgMar w:header="720" w:footer="1363" w:top="1560" w:bottom="1560" w:left="620" w:right="620"/>
        </w:sectPr>
      </w:pPr>
    </w:p>
    <w:p>
      <w:pPr>
        <w:pStyle w:val="BodyText"/>
        <w:rPr>
          <w:b/>
          <w:sz w:val="20"/>
        </w:rPr>
      </w:pPr>
    </w:p>
    <w:p>
      <w:pPr>
        <w:pStyle w:val="BodyText"/>
        <w:spacing w:before="10"/>
        <w:rPr>
          <w:b/>
          <w:sz w:val="15"/>
        </w:rPr>
      </w:pPr>
    </w:p>
    <w:p>
      <w:pPr>
        <w:spacing w:before="92"/>
        <w:ind w:left="2732" w:right="2734" w:firstLine="0"/>
        <w:jc w:val="center"/>
        <w:rPr>
          <w:b/>
          <w:sz w:val="24"/>
        </w:rPr>
      </w:pPr>
      <w:r>
        <w:rPr>
          <w:b/>
          <w:sz w:val="24"/>
        </w:rPr>
        <w:t>CONDICIONES GENERALES</w:t>
      </w:r>
    </w:p>
    <w:p>
      <w:pPr>
        <w:pStyle w:val="BodyText"/>
        <w:rPr>
          <w:b/>
          <w:sz w:val="26"/>
        </w:rPr>
      </w:pPr>
    </w:p>
    <w:p>
      <w:pPr>
        <w:pStyle w:val="BodyText"/>
        <w:rPr>
          <w:b/>
          <w:sz w:val="22"/>
        </w:rPr>
      </w:pPr>
    </w:p>
    <w:p>
      <w:pPr>
        <w:spacing w:before="0"/>
        <w:ind w:left="1082" w:right="0" w:firstLine="0"/>
        <w:jc w:val="left"/>
        <w:rPr>
          <w:b/>
          <w:sz w:val="24"/>
        </w:rPr>
      </w:pPr>
      <w:r>
        <w:rPr>
          <w:b/>
          <w:sz w:val="24"/>
        </w:rPr>
        <w:t>Vigencia de la oferta:</w:t>
      </w:r>
    </w:p>
    <w:p>
      <w:pPr>
        <w:pStyle w:val="BodyText"/>
        <w:ind w:left="1082"/>
      </w:pPr>
      <w:r>
        <w:rPr/>
        <w:t>25 Días hábiles, a partir de la fecha de la apertura.</w:t>
      </w:r>
    </w:p>
    <w:p>
      <w:pPr>
        <w:pStyle w:val="BodyText"/>
      </w:pPr>
    </w:p>
    <w:p>
      <w:pPr>
        <w:pStyle w:val="Heading1"/>
      </w:pPr>
      <w:r>
        <w:rPr/>
        <w:t>Forma de pago:</w:t>
      </w:r>
    </w:p>
    <w:p>
      <w:pPr>
        <w:pStyle w:val="BodyText"/>
        <w:ind w:left="1082"/>
      </w:pPr>
      <w:r>
        <w:rPr/>
        <w:t>Transferencia bancaria, 30 días naturales después del recibo conforme.</w:t>
      </w:r>
    </w:p>
    <w:p>
      <w:pPr>
        <w:pStyle w:val="BodyText"/>
      </w:pPr>
    </w:p>
    <w:p>
      <w:pPr>
        <w:pStyle w:val="Heading1"/>
      </w:pPr>
      <w:r>
        <w:rPr/>
        <w:t>Tiempo de entrega:</w:t>
      </w:r>
    </w:p>
    <w:p>
      <w:pPr>
        <w:pStyle w:val="BodyText"/>
        <w:spacing w:before="1"/>
        <w:ind w:left="1082"/>
      </w:pPr>
      <w:r>
        <w:rPr/>
        <w:t>2 Días hábiles, a partir de la notificación de la orden de compra.</w:t>
      </w:r>
    </w:p>
    <w:p>
      <w:pPr>
        <w:pStyle w:val="BodyText"/>
      </w:pPr>
    </w:p>
    <w:p>
      <w:pPr>
        <w:pStyle w:val="Heading1"/>
      </w:pPr>
      <w:r>
        <w:rPr/>
        <w:t>Lugar de entrega:</w:t>
      </w:r>
    </w:p>
    <w:p>
      <w:pPr>
        <w:pStyle w:val="BodyText"/>
        <w:ind w:left="1082"/>
      </w:pPr>
      <w:r>
        <w:rPr/>
        <w:t>La Administración Regional de Puntarenas.</w:t>
      </w:r>
    </w:p>
    <w:p>
      <w:pPr>
        <w:pStyle w:val="BodyText"/>
      </w:pPr>
    </w:p>
    <w:p>
      <w:pPr>
        <w:pStyle w:val="Heading1"/>
      </w:pPr>
      <w:r>
        <w:rPr/>
        <w:t>Servicio de Valor Agregado:</w:t>
      </w:r>
    </w:p>
    <w:p>
      <w:pPr>
        <w:pStyle w:val="BodyText"/>
        <w:ind w:left="1082" w:right="1316"/>
      </w:pPr>
      <w:r>
        <w:rPr/>
        <w:t>Instalación, montaje, balanceo, alineamiento y válvulas nuevas. Este servicio se realiza en nuestros centros Automecanix en este caso, San Jose San Sebastian, final del parqueo de Walmart, calle paralela ruta 29. Previa coordinación.</w:t>
      </w:r>
    </w:p>
    <w:p>
      <w:pPr>
        <w:pStyle w:val="BodyText"/>
      </w:pPr>
    </w:p>
    <w:p>
      <w:pPr>
        <w:pStyle w:val="Heading1"/>
        <w:jc w:val="both"/>
      </w:pPr>
      <w:r>
        <w:rPr/>
        <w:t>Garantía de Fabrica:</w:t>
      </w:r>
    </w:p>
    <w:p>
      <w:pPr>
        <w:pStyle w:val="BodyText"/>
        <w:spacing w:before="1"/>
        <w:ind w:left="1082" w:right="1076"/>
        <w:jc w:val="both"/>
      </w:pPr>
      <w:r>
        <w:rPr/>
        <w:t>Los</w:t>
      </w:r>
      <w:r>
        <w:rPr>
          <w:spacing w:val="-19"/>
        </w:rPr>
        <w:t> </w:t>
      </w:r>
      <w:r>
        <w:rPr/>
        <w:t>productos</w:t>
      </w:r>
      <w:r>
        <w:rPr>
          <w:spacing w:val="-21"/>
        </w:rPr>
        <w:t> </w:t>
      </w:r>
      <w:r>
        <w:rPr/>
        <w:t>de</w:t>
      </w:r>
      <w:r>
        <w:rPr>
          <w:spacing w:val="-18"/>
        </w:rPr>
        <w:t> </w:t>
      </w:r>
      <w:r>
        <w:rPr/>
        <w:t>las</w:t>
      </w:r>
      <w:r>
        <w:rPr>
          <w:spacing w:val="-21"/>
        </w:rPr>
        <w:t> </w:t>
      </w:r>
      <w:r>
        <w:rPr/>
        <w:t>marcas</w:t>
      </w:r>
      <w:r>
        <w:rPr>
          <w:spacing w:val="-18"/>
        </w:rPr>
        <w:t> </w:t>
      </w:r>
      <w:r>
        <w:rPr/>
        <w:t>importadas</w:t>
      </w:r>
      <w:r>
        <w:rPr>
          <w:spacing w:val="-19"/>
        </w:rPr>
        <w:t> </w:t>
      </w:r>
      <w:r>
        <w:rPr/>
        <w:t>y</w:t>
      </w:r>
      <w:r>
        <w:rPr>
          <w:spacing w:val="-21"/>
        </w:rPr>
        <w:t> </w:t>
      </w:r>
      <w:r>
        <w:rPr/>
        <w:t>comercializadas</w:t>
      </w:r>
      <w:r>
        <w:rPr>
          <w:spacing w:val="-19"/>
        </w:rPr>
        <w:t> </w:t>
      </w:r>
      <w:r>
        <w:rPr/>
        <w:t>por</w:t>
      </w:r>
      <w:r>
        <w:rPr>
          <w:spacing w:val="-18"/>
        </w:rPr>
        <w:t> </w:t>
      </w:r>
      <w:r>
        <w:rPr/>
        <w:t>Importadora</w:t>
      </w:r>
      <w:r>
        <w:rPr>
          <w:spacing w:val="-19"/>
        </w:rPr>
        <w:t> </w:t>
      </w:r>
      <w:r>
        <w:rPr/>
        <w:t>AD</w:t>
      </w:r>
      <w:r>
        <w:rPr>
          <w:spacing w:val="-19"/>
        </w:rPr>
        <w:t> </w:t>
      </w:r>
      <w:r>
        <w:rPr/>
        <w:t>NAT S.A.,</w:t>
      </w:r>
      <w:r>
        <w:rPr>
          <w:spacing w:val="-14"/>
        </w:rPr>
        <w:t> </w:t>
      </w:r>
      <w:r>
        <w:rPr/>
        <w:t>cuentan</w:t>
      </w:r>
      <w:r>
        <w:rPr>
          <w:spacing w:val="-15"/>
        </w:rPr>
        <w:t> </w:t>
      </w:r>
      <w:r>
        <w:rPr/>
        <w:t>con</w:t>
      </w:r>
      <w:r>
        <w:rPr>
          <w:spacing w:val="-16"/>
        </w:rPr>
        <w:t> </w:t>
      </w:r>
      <w:r>
        <w:rPr/>
        <w:t>una</w:t>
      </w:r>
      <w:r>
        <w:rPr>
          <w:spacing w:val="-16"/>
        </w:rPr>
        <w:t> </w:t>
      </w:r>
      <w:r>
        <w:rPr/>
        <w:t>garantía</w:t>
      </w:r>
      <w:r>
        <w:rPr>
          <w:spacing w:val="-13"/>
        </w:rPr>
        <w:t> </w:t>
      </w:r>
      <w:r>
        <w:rPr/>
        <w:t>de</w:t>
      </w:r>
      <w:r>
        <w:rPr>
          <w:spacing w:val="-13"/>
        </w:rPr>
        <w:t> </w:t>
      </w:r>
      <w:r>
        <w:rPr/>
        <w:t>calidad</w:t>
      </w:r>
      <w:r>
        <w:rPr>
          <w:spacing w:val="-16"/>
        </w:rPr>
        <w:t> </w:t>
      </w:r>
      <w:r>
        <w:rPr/>
        <w:t>de</w:t>
      </w:r>
      <w:r>
        <w:rPr>
          <w:spacing w:val="-10"/>
        </w:rPr>
        <w:t> </w:t>
      </w:r>
      <w:r>
        <w:rPr>
          <w:b/>
          <w:u w:val="thick"/>
        </w:rPr>
        <w:t>60</w:t>
      </w:r>
      <w:r>
        <w:rPr>
          <w:b/>
          <w:spacing w:val="-13"/>
          <w:u w:val="thick"/>
        </w:rPr>
        <w:t> </w:t>
      </w:r>
      <w:r>
        <w:rPr>
          <w:b/>
          <w:u w:val="thick"/>
        </w:rPr>
        <w:t>meses</w:t>
      </w:r>
      <w:r>
        <w:rPr/>
        <w:t>,</w:t>
      </w:r>
      <w:r>
        <w:rPr>
          <w:spacing w:val="-13"/>
        </w:rPr>
        <w:t> </w:t>
      </w:r>
      <w:r>
        <w:rPr/>
        <w:t>que</w:t>
      </w:r>
      <w:r>
        <w:rPr>
          <w:spacing w:val="-13"/>
        </w:rPr>
        <w:t> </w:t>
      </w:r>
      <w:r>
        <w:rPr/>
        <w:t>asegura</w:t>
      </w:r>
      <w:r>
        <w:rPr>
          <w:spacing w:val="-12"/>
        </w:rPr>
        <w:t> </w:t>
      </w:r>
      <w:r>
        <w:rPr/>
        <w:t>la</w:t>
      </w:r>
      <w:r>
        <w:rPr>
          <w:spacing w:val="-13"/>
        </w:rPr>
        <w:t> </w:t>
      </w:r>
      <w:r>
        <w:rPr/>
        <w:t>satisfacción total del usuario. Esta garantía cubre cualquier irregularidad de mano de obra, materias primas y demás procesos de producción. Esta garantía no tiene límite de kilometraje y es aplicable siempre y</w:t>
      </w:r>
      <w:r>
        <w:rPr>
          <w:spacing w:val="-7"/>
        </w:rPr>
        <w:t> </w:t>
      </w:r>
      <w:r>
        <w:rPr/>
        <w:t>cuando:</w:t>
      </w:r>
    </w:p>
    <w:p>
      <w:pPr>
        <w:pStyle w:val="ListParagraph"/>
        <w:numPr>
          <w:ilvl w:val="0"/>
          <w:numId w:val="1"/>
        </w:numPr>
        <w:tabs>
          <w:tab w:pos="1255" w:val="left" w:leader="none"/>
        </w:tabs>
        <w:spacing w:line="261" w:lineRule="auto" w:before="24" w:after="0"/>
        <w:ind w:left="1082" w:right="1082" w:firstLine="0"/>
        <w:jc w:val="left"/>
        <w:rPr>
          <w:sz w:val="24"/>
        </w:rPr>
      </w:pPr>
      <w:r>
        <w:rPr>
          <w:sz w:val="24"/>
        </w:rPr>
        <w:t>La banda de rodamiento del neumático mantenga un remanente de al menos 2 milímetros de</w:t>
      </w:r>
      <w:r>
        <w:rPr>
          <w:spacing w:val="-1"/>
          <w:sz w:val="24"/>
        </w:rPr>
        <w:t> </w:t>
      </w:r>
      <w:r>
        <w:rPr>
          <w:sz w:val="24"/>
        </w:rPr>
        <w:t>profundidad.</w:t>
      </w:r>
    </w:p>
    <w:p>
      <w:pPr>
        <w:pStyle w:val="ListParagraph"/>
        <w:numPr>
          <w:ilvl w:val="0"/>
          <w:numId w:val="1"/>
        </w:numPr>
        <w:tabs>
          <w:tab w:pos="1233" w:val="left" w:leader="none"/>
        </w:tabs>
        <w:spacing w:line="274" w:lineRule="exact" w:before="0" w:after="0"/>
        <w:ind w:left="1232" w:right="0" w:hanging="151"/>
        <w:jc w:val="left"/>
        <w:rPr>
          <w:sz w:val="24"/>
        </w:rPr>
      </w:pPr>
      <w:r>
        <w:rPr>
          <w:sz w:val="24"/>
        </w:rPr>
        <w:t>El neumático no haya sido fabricado hace más de 6</w:t>
      </w:r>
      <w:r>
        <w:rPr>
          <w:spacing w:val="-19"/>
          <w:sz w:val="24"/>
        </w:rPr>
        <w:t> </w:t>
      </w:r>
      <w:r>
        <w:rPr>
          <w:sz w:val="24"/>
        </w:rPr>
        <w:t>años.</w:t>
      </w:r>
    </w:p>
    <w:p>
      <w:pPr>
        <w:pStyle w:val="ListParagraph"/>
        <w:numPr>
          <w:ilvl w:val="0"/>
          <w:numId w:val="1"/>
        </w:numPr>
        <w:tabs>
          <w:tab w:pos="1236" w:val="left" w:leader="none"/>
        </w:tabs>
        <w:spacing w:line="240" w:lineRule="auto" w:before="0" w:after="0"/>
        <w:ind w:left="1235" w:right="0" w:hanging="154"/>
        <w:jc w:val="left"/>
        <w:rPr>
          <w:sz w:val="24"/>
        </w:rPr>
      </w:pPr>
      <w:r>
        <w:rPr>
          <w:sz w:val="24"/>
        </w:rPr>
        <w:t>Todo neumático no tubular debe ser instalado con una cámara y protector</w:t>
      </w:r>
      <w:r>
        <w:rPr>
          <w:spacing w:val="4"/>
          <w:sz w:val="24"/>
        </w:rPr>
        <w:t> </w:t>
      </w:r>
      <w:r>
        <w:rPr>
          <w:sz w:val="24"/>
        </w:rPr>
        <w:t>nuevo.</w:t>
      </w:r>
    </w:p>
    <w:p>
      <w:pPr>
        <w:pStyle w:val="BodyText"/>
      </w:pPr>
    </w:p>
    <w:p>
      <w:pPr>
        <w:pStyle w:val="Heading1"/>
        <w:ind w:right="1077"/>
        <w:jc w:val="both"/>
      </w:pPr>
      <w:r>
        <w:rPr/>
        <w:t>Exclusiones de la garantía de producto contra no conformidades de fabricación:</w:t>
      </w:r>
    </w:p>
    <w:p>
      <w:pPr>
        <w:pStyle w:val="BodyText"/>
        <w:spacing w:before="1"/>
        <w:ind w:left="1082" w:right="1077"/>
        <w:jc w:val="both"/>
      </w:pPr>
      <w:r>
        <w:rPr/>
        <w:t>Cuando</w:t>
      </w:r>
      <w:r>
        <w:rPr>
          <w:spacing w:val="-8"/>
        </w:rPr>
        <w:t> </w:t>
      </w:r>
      <w:r>
        <w:rPr/>
        <w:t>usted</w:t>
      </w:r>
      <w:r>
        <w:rPr>
          <w:spacing w:val="-8"/>
        </w:rPr>
        <w:t> </w:t>
      </w:r>
      <w:r>
        <w:rPr/>
        <w:t>tenga</w:t>
      </w:r>
      <w:r>
        <w:rPr>
          <w:spacing w:val="-8"/>
        </w:rPr>
        <w:t> </w:t>
      </w:r>
      <w:r>
        <w:rPr/>
        <w:t>que</w:t>
      </w:r>
      <w:r>
        <w:rPr>
          <w:spacing w:val="-8"/>
        </w:rPr>
        <w:t> </w:t>
      </w:r>
      <w:r>
        <w:rPr/>
        <w:t>presentar</w:t>
      </w:r>
      <w:r>
        <w:rPr>
          <w:spacing w:val="-9"/>
        </w:rPr>
        <w:t> </w:t>
      </w:r>
      <w:r>
        <w:rPr/>
        <w:t>un</w:t>
      </w:r>
      <w:r>
        <w:rPr>
          <w:spacing w:val="-8"/>
        </w:rPr>
        <w:t> </w:t>
      </w:r>
      <w:r>
        <w:rPr/>
        <w:t>reclamo</w:t>
      </w:r>
      <w:r>
        <w:rPr>
          <w:spacing w:val="-8"/>
        </w:rPr>
        <w:t> </w:t>
      </w:r>
      <w:r>
        <w:rPr/>
        <w:t>por</w:t>
      </w:r>
      <w:r>
        <w:rPr>
          <w:spacing w:val="-10"/>
        </w:rPr>
        <w:t> </w:t>
      </w:r>
      <w:r>
        <w:rPr/>
        <w:t>concepto</w:t>
      </w:r>
      <w:r>
        <w:rPr>
          <w:spacing w:val="-9"/>
        </w:rPr>
        <w:t> </w:t>
      </w:r>
      <w:r>
        <w:rPr/>
        <w:t>de</w:t>
      </w:r>
      <w:r>
        <w:rPr>
          <w:spacing w:val="-8"/>
        </w:rPr>
        <w:t> </w:t>
      </w:r>
      <w:r>
        <w:rPr/>
        <w:t>Garantía</w:t>
      </w:r>
      <w:r>
        <w:rPr>
          <w:spacing w:val="-8"/>
        </w:rPr>
        <w:t> </w:t>
      </w:r>
      <w:r>
        <w:rPr/>
        <w:t>de</w:t>
      </w:r>
      <w:r>
        <w:rPr>
          <w:spacing w:val="-8"/>
        </w:rPr>
        <w:t> </w:t>
      </w:r>
      <w:r>
        <w:rPr/>
        <w:t>calidad de fabricación, deberá acudir a cualquier centro de servicio Automecanix San Sebastián con el neumático, el documento de garantía, copia del documento de identificación, copia de factura y copia del documento del vehículo. En el centro de servicio se llenará un formulario de reclamo y le será entregada una copia del mismo. Por lo anterior, es necesario que el neumático tenga el DOT legible y adicionalmente</w:t>
      </w:r>
      <w:r>
        <w:rPr>
          <w:spacing w:val="-11"/>
        </w:rPr>
        <w:t> </w:t>
      </w:r>
      <w:r>
        <w:rPr/>
        <w:t>el</w:t>
      </w:r>
      <w:r>
        <w:rPr>
          <w:spacing w:val="-11"/>
        </w:rPr>
        <w:t> </w:t>
      </w:r>
      <w:r>
        <w:rPr/>
        <w:t>propietario</w:t>
      </w:r>
      <w:r>
        <w:rPr>
          <w:spacing w:val="-8"/>
        </w:rPr>
        <w:t> </w:t>
      </w:r>
      <w:r>
        <w:rPr/>
        <w:t>del</w:t>
      </w:r>
      <w:r>
        <w:rPr>
          <w:spacing w:val="-11"/>
        </w:rPr>
        <w:t> </w:t>
      </w:r>
      <w:r>
        <w:rPr/>
        <w:t>neumático</w:t>
      </w:r>
      <w:r>
        <w:rPr>
          <w:spacing w:val="-11"/>
        </w:rPr>
        <w:t> </w:t>
      </w:r>
      <w:r>
        <w:rPr/>
        <w:t>deberá</w:t>
      </w:r>
      <w:r>
        <w:rPr>
          <w:spacing w:val="-12"/>
        </w:rPr>
        <w:t> </w:t>
      </w:r>
      <w:r>
        <w:rPr/>
        <w:t>presentarse</w:t>
      </w:r>
      <w:r>
        <w:rPr>
          <w:spacing w:val="-11"/>
        </w:rPr>
        <w:t> </w:t>
      </w:r>
      <w:r>
        <w:rPr/>
        <w:t>con</w:t>
      </w:r>
      <w:r>
        <w:rPr>
          <w:spacing w:val="-14"/>
        </w:rPr>
        <w:t> </w:t>
      </w:r>
      <w:r>
        <w:rPr/>
        <w:t>el</w:t>
      </w:r>
      <w:r>
        <w:rPr>
          <w:spacing w:val="-10"/>
        </w:rPr>
        <w:t> </w:t>
      </w:r>
      <w:r>
        <w:rPr/>
        <w:t>vehículo</w:t>
      </w:r>
      <w:r>
        <w:rPr>
          <w:spacing w:val="-10"/>
        </w:rPr>
        <w:t> </w:t>
      </w:r>
      <w:r>
        <w:rPr/>
        <w:t>que lo portaba o en su defecto deberá proporcionar los siguientes datos del vehículo: marca, modelo, ano y VIN o número de</w:t>
      </w:r>
      <w:r>
        <w:rPr>
          <w:spacing w:val="-9"/>
        </w:rPr>
        <w:t> </w:t>
      </w:r>
      <w:r>
        <w:rPr/>
        <w:t>chasis.</w:t>
      </w:r>
    </w:p>
    <w:p>
      <w:pPr>
        <w:spacing w:after="0"/>
        <w:jc w:val="both"/>
        <w:sectPr>
          <w:pgSz w:w="12250" w:h="15850"/>
          <w:pgMar w:header="720" w:footer="1363" w:top="1560" w:bottom="1560" w:left="620" w:right="620"/>
        </w:sectPr>
      </w:pPr>
    </w:p>
    <w:p>
      <w:pPr>
        <w:pStyle w:val="BodyText"/>
        <w:rPr>
          <w:sz w:val="20"/>
        </w:rPr>
      </w:pPr>
    </w:p>
    <w:p>
      <w:pPr>
        <w:pStyle w:val="BodyText"/>
        <w:spacing w:before="10"/>
        <w:rPr>
          <w:sz w:val="15"/>
        </w:rPr>
      </w:pPr>
    </w:p>
    <w:p>
      <w:pPr>
        <w:pStyle w:val="BodyText"/>
        <w:spacing w:before="92"/>
        <w:ind w:left="1082" w:right="1076"/>
        <w:jc w:val="both"/>
      </w:pPr>
      <w:r>
        <w:rPr/>
        <w:t>En ese momento se determinará el porcentaje de vida restante para el neumático</w:t>
      </w:r>
      <w:r>
        <w:rPr>
          <w:spacing w:val="-46"/>
        </w:rPr>
        <w:t> </w:t>
      </w:r>
      <w:r>
        <w:rPr/>
        <w:t>y se le reconocerá el valor correspondiente al porcentaje de vida que aún le restaba al neumático. Este porcentaje de reconocimiento es aplicable únicamente en la compra de un neumático idéntico o equivalente al que se presenta para la garantía y se hará el reconocimiento con base al precio actual de ese</w:t>
      </w:r>
      <w:r>
        <w:rPr>
          <w:spacing w:val="-14"/>
        </w:rPr>
        <w:t> </w:t>
      </w:r>
      <w:r>
        <w:rPr/>
        <w:t>neumático.</w:t>
      </w:r>
    </w:p>
    <w:p>
      <w:pPr>
        <w:pStyle w:val="BodyText"/>
      </w:pPr>
    </w:p>
    <w:p>
      <w:pPr>
        <w:pStyle w:val="BodyText"/>
        <w:ind w:left="1082" w:right="1077"/>
        <w:jc w:val="both"/>
      </w:pPr>
      <w:r>
        <w:rPr/>
        <w:t>En todos los casos, cuando proceda un reclamo, Importadora AD NAT S.A., hará un ajuste proporcional a la vida restante que tenga el neumático, tomando como base para ello la profundidad de estría del neumático al momento de efectuar el reclamo en comparación con la profundidad de estría de ese mismo neumático en su estado original o nuevo. Esta garantía pierde su validez cuando el neumático haya sido utilizando en condiciones o vehículos distintos de aquellos para los que fue diseñado. Esta garantía no cubre danos fortuitos ocasionados por: golpes, impactos, cortes, penetraciones, malos montajes, sobre el aro u otros daños ocurridos durante el servicio del neumático. Los daños que pudieron sufrir los neumáticos debido a problemas mecánicos del vehículo, falta de alineamiento, y/o balanceo, neumáticos reparados (vulcanizados) en los casos que la falla pudiera haberse generado debido a la reparación, uso de presión insuficiente o excesiva, vandalismo, o cuando el número de serie del neumático (DOT) no aparezca o sea ilegible.</w:t>
      </w:r>
    </w:p>
    <w:p>
      <w:pPr>
        <w:spacing w:after="0"/>
        <w:jc w:val="both"/>
        <w:sectPr>
          <w:pgSz w:w="12250" w:h="15850"/>
          <w:pgMar w:header="720" w:footer="1363" w:top="1560" w:bottom="1560" w:left="620" w:right="620"/>
        </w:sectPr>
      </w:pPr>
    </w:p>
    <w:p>
      <w:pPr>
        <w:pStyle w:val="BodyText"/>
        <w:rPr>
          <w:sz w:val="20"/>
        </w:rPr>
      </w:pPr>
    </w:p>
    <w:p>
      <w:pPr>
        <w:pStyle w:val="BodyText"/>
        <w:rPr>
          <w:sz w:val="20"/>
        </w:rPr>
      </w:pPr>
    </w:p>
    <w:p>
      <w:pPr>
        <w:pStyle w:val="BodyText"/>
        <w:spacing w:before="10"/>
        <w:rPr>
          <w:sz w:val="19"/>
        </w:rPr>
      </w:pPr>
    </w:p>
    <w:p>
      <w:pPr>
        <w:pStyle w:val="Heading1"/>
        <w:spacing w:before="92"/>
        <w:ind w:left="2732" w:right="2733"/>
        <w:jc w:val="center"/>
      </w:pPr>
      <w:r>
        <w:rPr/>
        <w:t>DECLARACION JURADA</w:t>
      </w:r>
    </w:p>
    <w:p>
      <w:pPr>
        <w:pStyle w:val="BodyText"/>
        <w:rPr>
          <w:b/>
        </w:rPr>
      </w:pPr>
    </w:p>
    <w:p>
      <w:pPr>
        <w:pStyle w:val="BodyText"/>
        <w:ind w:left="1082" w:right="1075"/>
        <w:jc w:val="both"/>
      </w:pPr>
      <w:r>
        <w:rPr/>
        <w:t>Yo Jehudith Naturman Stenberg, mayor, casada, empresaria, vecina de San Jose, con cedula 1-0717-0655, en calidad de Apoderada General, de la empresa IMPORTADORA AD NAT S.A., cedula jurídica 3-101-167171, declaro bajo fe de juramento que:</w:t>
      </w:r>
    </w:p>
    <w:p>
      <w:pPr>
        <w:pStyle w:val="BodyText"/>
      </w:pPr>
    </w:p>
    <w:p>
      <w:pPr>
        <w:pStyle w:val="BodyText"/>
        <w:ind w:left="1082" w:right="1085"/>
        <w:jc w:val="both"/>
      </w:pPr>
      <w:r>
        <w:rPr/>
        <w:t>A mi representada ni a mí nos alcanzan por las prohibiciones del artículo 22 y 22 Bis de la Ley de Contratación Administrativa y 65 de su Reglamento.</w:t>
      </w:r>
    </w:p>
    <w:p>
      <w:pPr>
        <w:pStyle w:val="BodyText"/>
        <w:spacing w:before="1"/>
      </w:pPr>
    </w:p>
    <w:p>
      <w:pPr>
        <w:pStyle w:val="BodyText"/>
        <w:ind w:left="1082" w:right="1081"/>
        <w:jc w:val="both"/>
      </w:pPr>
      <w:r>
        <w:rPr/>
        <w:t>Declaro que mi representada no se encuentra inhabilitada para contratar con el sector</w:t>
      </w:r>
      <w:r>
        <w:rPr>
          <w:spacing w:val="-19"/>
        </w:rPr>
        <w:t> </w:t>
      </w:r>
      <w:r>
        <w:rPr/>
        <w:t>público</w:t>
      </w:r>
      <w:r>
        <w:rPr>
          <w:spacing w:val="-17"/>
        </w:rPr>
        <w:t> </w:t>
      </w:r>
      <w:r>
        <w:rPr/>
        <w:t>de</w:t>
      </w:r>
      <w:r>
        <w:rPr>
          <w:spacing w:val="-16"/>
        </w:rPr>
        <w:t> </w:t>
      </w:r>
      <w:r>
        <w:rPr/>
        <w:t>conformidad</w:t>
      </w:r>
      <w:r>
        <w:rPr>
          <w:spacing w:val="-18"/>
        </w:rPr>
        <w:t> </w:t>
      </w:r>
      <w:r>
        <w:rPr/>
        <w:t>con</w:t>
      </w:r>
      <w:r>
        <w:rPr>
          <w:spacing w:val="-19"/>
        </w:rPr>
        <w:t> </w:t>
      </w:r>
      <w:r>
        <w:rPr/>
        <w:t>el</w:t>
      </w:r>
      <w:r>
        <w:rPr>
          <w:spacing w:val="-18"/>
        </w:rPr>
        <w:t> </w:t>
      </w:r>
      <w:r>
        <w:rPr/>
        <w:t>artículo</w:t>
      </w:r>
      <w:r>
        <w:rPr>
          <w:spacing w:val="-18"/>
        </w:rPr>
        <w:t> </w:t>
      </w:r>
      <w:r>
        <w:rPr/>
        <w:t>100</w:t>
      </w:r>
      <w:r>
        <w:rPr>
          <w:spacing w:val="-17"/>
        </w:rPr>
        <w:t> </w:t>
      </w:r>
      <w:r>
        <w:rPr/>
        <w:t>y</w:t>
      </w:r>
      <w:r>
        <w:rPr>
          <w:spacing w:val="-20"/>
        </w:rPr>
        <w:t> </w:t>
      </w:r>
      <w:r>
        <w:rPr/>
        <w:t>100</w:t>
      </w:r>
      <w:r>
        <w:rPr>
          <w:spacing w:val="-18"/>
        </w:rPr>
        <w:t> </w:t>
      </w:r>
      <w:r>
        <w:rPr/>
        <w:t>Bis</w:t>
      </w:r>
      <w:r>
        <w:rPr>
          <w:spacing w:val="-18"/>
        </w:rPr>
        <w:t> </w:t>
      </w:r>
      <w:r>
        <w:rPr/>
        <w:t>de</w:t>
      </w:r>
      <w:r>
        <w:rPr>
          <w:spacing w:val="-17"/>
        </w:rPr>
        <w:t> </w:t>
      </w:r>
      <w:r>
        <w:rPr/>
        <w:t>la</w:t>
      </w:r>
      <w:r>
        <w:rPr>
          <w:spacing w:val="-18"/>
        </w:rPr>
        <w:t> </w:t>
      </w:r>
      <w:r>
        <w:rPr/>
        <w:t>Ley</w:t>
      </w:r>
      <w:r>
        <w:rPr>
          <w:spacing w:val="-20"/>
        </w:rPr>
        <w:t> </w:t>
      </w:r>
      <w:r>
        <w:rPr/>
        <w:t>de</w:t>
      </w:r>
      <w:r>
        <w:rPr>
          <w:spacing w:val="-17"/>
        </w:rPr>
        <w:t> </w:t>
      </w:r>
      <w:r>
        <w:rPr/>
        <w:t>Contratación Administrativa.</w:t>
      </w:r>
    </w:p>
    <w:p>
      <w:pPr>
        <w:pStyle w:val="BodyText"/>
      </w:pPr>
    </w:p>
    <w:p>
      <w:pPr>
        <w:pStyle w:val="BodyText"/>
        <w:ind w:left="1082" w:right="1086"/>
        <w:jc w:val="both"/>
      </w:pPr>
      <w:r>
        <w:rPr/>
        <w:t>Declaro que tampoco nos alcanzan las prohibiciones establecidas en el artículo 18 de la Ley Contra la Corrupción y el Enriquecimiento Ilícito en la Función Pública.</w:t>
      </w:r>
    </w:p>
    <w:p>
      <w:pPr>
        <w:pStyle w:val="BodyText"/>
      </w:pPr>
    </w:p>
    <w:p>
      <w:pPr>
        <w:pStyle w:val="BodyText"/>
        <w:ind w:left="1082" w:right="1082"/>
        <w:jc w:val="both"/>
      </w:pPr>
      <w:r>
        <w:rPr/>
        <w:t>Declaro</w:t>
      </w:r>
      <w:r>
        <w:rPr>
          <w:spacing w:val="-9"/>
        </w:rPr>
        <w:t> </w:t>
      </w:r>
      <w:r>
        <w:rPr/>
        <w:t>que</w:t>
      </w:r>
      <w:r>
        <w:rPr>
          <w:spacing w:val="-11"/>
        </w:rPr>
        <w:t> </w:t>
      </w:r>
      <w:r>
        <w:rPr/>
        <w:t>mi</w:t>
      </w:r>
      <w:r>
        <w:rPr>
          <w:spacing w:val="-12"/>
        </w:rPr>
        <w:t> </w:t>
      </w:r>
      <w:r>
        <w:rPr/>
        <w:t>representada</w:t>
      </w:r>
      <w:r>
        <w:rPr>
          <w:spacing w:val="-11"/>
        </w:rPr>
        <w:t> </w:t>
      </w:r>
      <w:r>
        <w:rPr/>
        <w:t>se</w:t>
      </w:r>
      <w:r>
        <w:rPr>
          <w:spacing w:val="-10"/>
        </w:rPr>
        <w:t> </w:t>
      </w:r>
      <w:r>
        <w:rPr/>
        <w:t>encuentra</w:t>
      </w:r>
      <w:r>
        <w:rPr>
          <w:spacing w:val="-11"/>
        </w:rPr>
        <w:t> </w:t>
      </w:r>
      <w:r>
        <w:rPr/>
        <w:t>al</w:t>
      </w:r>
      <w:r>
        <w:rPr>
          <w:spacing w:val="-12"/>
        </w:rPr>
        <w:t> </w:t>
      </w:r>
      <w:r>
        <w:rPr/>
        <w:t>día</w:t>
      </w:r>
      <w:r>
        <w:rPr>
          <w:spacing w:val="-8"/>
        </w:rPr>
        <w:t> </w:t>
      </w:r>
      <w:r>
        <w:rPr/>
        <w:t>en</w:t>
      </w:r>
      <w:r>
        <w:rPr>
          <w:spacing w:val="-10"/>
        </w:rPr>
        <w:t> </w:t>
      </w:r>
      <w:r>
        <w:rPr/>
        <w:t>el</w:t>
      </w:r>
      <w:r>
        <w:rPr>
          <w:spacing w:val="-12"/>
        </w:rPr>
        <w:t> </w:t>
      </w:r>
      <w:r>
        <w:rPr/>
        <w:t>pago</w:t>
      </w:r>
      <w:r>
        <w:rPr>
          <w:spacing w:val="-11"/>
        </w:rPr>
        <w:t> </w:t>
      </w:r>
      <w:r>
        <w:rPr/>
        <w:t>de</w:t>
      </w:r>
      <w:r>
        <w:rPr>
          <w:spacing w:val="-11"/>
        </w:rPr>
        <w:t> </w:t>
      </w:r>
      <w:r>
        <w:rPr/>
        <w:t>las</w:t>
      </w:r>
      <w:r>
        <w:rPr>
          <w:spacing w:val="-10"/>
        </w:rPr>
        <w:t> </w:t>
      </w:r>
      <w:r>
        <w:rPr/>
        <w:t>obligaciones</w:t>
      </w:r>
      <w:r>
        <w:rPr>
          <w:spacing w:val="-9"/>
        </w:rPr>
        <w:t> </w:t>
      </w:r>
      <w:r>
        <w:rPr/>
        <w:t>con la Caja Costarricense del Seguro Social y el Fondo de Desarrollo Social y Asignaciones</w:t>
      </w:r>
      <w:r>
        <w:rPr>
          <w:spacing w:val="-9"/>
        </w:rPr>
        <w:t> </w:t>
      </w:r>
      <w:r>
        <w:rPr/>
        <w:t>Familiares</w:t>
      </w:r>
      <w:r>
        <w:rPr>
          <w:spacing w:val="-7"/>
        </w:rPr>
        <w:t> </w:t>
      </w:r>
      <w:r>
        <w:rPr/>
        <w:t>(Fodesaf),</w:t>
      </w:r>
      <w:r>
        <w:rPr>
          <w:spacing w:val="-8"/>
        </w:rPr>
        <w:t> </w:t>
      </w:r>
      <w:r>
        <w:rPr/>
        <w:t>como</w:t>
      </w:r>
      <w:r>
        <w:rPr>
          <w:spacing w:val="-8"/>
        </w:rPr>
        <w:t> </w:t>
      </w:r>
      <w:r>
        <w:rPr/>
        <w:t>lo</w:t>
      </w:r>
      <w:r>
        <w:rPr>
          <w:spacing w:val="-10"/>
        </w:rPr>
        <w:t> </w:t>
      </w:r>
      <w:r>
        <w:rPr/>
        <w:t>establece</w:t>
      </w:r>
      <w:r>
        <w:rPr>
          <w:spacing w:val="-8"/>
        </w:rPr>
        <w:t> </w:t>
      </w:r>
      <w:r>
        <w:rPr/>
        <w:t>el</w:t>
      </w:r>
      <w:r>
        <w:rPr>
          <w:spacing w:val="-9"/>
        </w:rPr>
        <w:t> </w:t>
      </w:r>
      <w:r>
        <w:rPr/>
        <w:t>artículo</w:t>
      </w:r>
      <w:r>
        <w:rPr>
          <w:spacing w:val="-9"/>
        </w:rPr>
        <w:t> </w:t>
      </w:r>
      <w:r>
        <w:rPr/>
        <w:t>22</w:t>
      </w:r>
      <w:r>
        <w:rPr>
          <w:spacing w:val="-7"/>
        </w:rPr>
        <w:t> </w:t>
      </w:r>
      <w:r>
        <w:rPr/>
        <w:t>de</w:t>
      </w:r>
      <w:r>
        <w:rPr>
          <w:spacing w:val="-8"/>
        </w:rPr>
        <w:t> </w:t>
      </w:r>
      <w:r>
        <w:rPr/>
        <w:t>la</w:t>
      </w:r>
      <w:r>
        <w:rPr>
          <w:spacing w:val="-8"/>
        </w:rPr>
        <w:t> </w:t>
      </w:r>
      <w:r>
        <w:rPr/>
        <w:t>Ley</w:t>
      </w:r>
      <w:r>
        <w:rPr>
          <w:spacing w:val="-9"/>
        </w:rPr>
        <w:t> </w:t>
      </w:r>
      <w:r>
        <w:rPr/>
        <w:t>8783, así como con el pago de las obligaciones a las Sociedades Anónimas, como </w:t>
      </w:r>
      <w:r>
        <w:rPr>
          <w:spacing w:val="-3"/>
        </w:rPr>
        <w:t>se </w:t>
      </w:r>
      <w:r>
        <w:rPr/>
        <w:t>establece en la Ley N°</w:t>
      </w:r>
      <w:r>
        <w:rPr>
          <w:spacing w:val="-6"/>
        </w:rPr>
        <w:t> </w:t>
      </w:r>
      <w:r>
        <w:rPr/>
        <w:t>9024.</w:t>
      </w:r>
    </w:p>
    <w:p>
      <w:pPr>
        <w:pStyle w:val="BodyText"/>
        <w:spacing w:before="1"/>
      </w:pPr>
    </w:p>
    <w:p>
      <w:pPr>
        <w:pStyle w:val="BodyText"/>
        <w:ind w:left="1082" w:right="1084"/>
        <w:jc w:val="both"/>
      </w:pPr>
      <w:r>
        <w:rPr/>
        <w:t>Declaro que nos encontramos al día en el pago de los impuestos nacionales y municipales.</w:t>
      </w:r>
    </w:p>
    <w:p>
      <w:pPr>
        <w:pStyle w:val="BodyText"/>
      </w:pPr>
    </w:p>
    <w:p>
      <w:pPr>
        <w:pStyle w:val="BodyText"/>
        <w:ind w:left="1082"/>
        <w:jc w:val="both"/>
      </w:pPr>
      <w:r>
        <w:rPr/>
        <w:t>Declaro que no nos encontramos inhabilitados para contratar con el Estado.</w:t>
      </w:r>
    </w:p>
    <w:p>
      <w:pPr>
        <w:pStyle w:val="BodyText"/>
      </w:pPr>
    </w:p>
    <w:p>
      <w:pPr>
        <w:pStyle w:val="BodyText"/>
        <w:ind w:left="1082" w:right="1084"/>
        <w:jc w:val="both"/>
      </w:pPr>
      <w:r>
        <w:rPr/>
        <w:t>Declaro que mi representada cumple plenamente con toda la legislación laboral vigente.</w:t>
      </w:r>
    </w:p>
    <w:p>
      <w:pPr>
        <w:pStyle w:val="BodyText"/>
      </w:pPr>
    </w:p>
    <w:p>
      <w:pPr>
        <w:pStyle w:val="BodyText"/>
        <w:ind w:left="1082" w:right="1085"/>
        <w:jc w:val="both"/>
      </w:pPr>
      <w:r>
        <w:rPr/>
        <w:t>Declaro que acepto y cumpliré fielmente con las condiciones, requerimientos, especificaciones y requisitos técnicos de esta contratación.</w:t>
      </w:r>
    </w:p>
    <w:p>
      <w:pPr>
        <w:pStyle w:val="BodyText"/>
        <w:spacing w:before="1"/>
      </w:pPr>
    </w:p>
    <w:p>
      <w:pPr>
        <w:pStyle w:val="BodyText"/>
        <w:ind w:left="1082" w:right="1079"/>
        <w:jc w:val="both"/>
      </w:pPr>
      <w:r>
        <w:rPr/>
        <w:t>Importadora</w:t>
      </w:r>
      <w:r>
        <w:rPr>
          <w:spacing w:val="-7"/>
        </w:rPr>
        <w:t> </w:t>
      </w:r>
      <w:r>
        <w:rPr/>
        <w:t>AD</w:t>
      </w:r>
      <w:r>
        <w:rPr>
          <w:spacing w:val="-7"/>
        </w:rPr>
        <w:t> </w:t>
      </w:r>
      <w:r>
        <w:rPr/>
        <w:t>NAT</w:t>
      </w:r>
      <w:r>
        <w:rPr>
          <w:spacing w:val="-3"/>
        </w:rPr>
        <w:t> </w:t>
      </w:r>
      <w:r>
        <w:rPr/>
        <w:t>S.A.,</w:t>
      </w:r>
      <w:r>
        <w:rPr>
          <w:spacing w:val="-5"/>
        </w:rPr>
        <w:t> </w:t>
      </w:r>
      <w:r>
        <w:rPr/>
        <w:t>tiene</w:t>
      </w:r>
      <w:r>
        <w:rPr>
          <w:spacing w:val="-8"/>
        </w:rPr>
        <w:t> </w:t>
      </w:r>
      <w:r>
        <w:rPr/>
        <w:t>más</w:t>
      </w:r>
      <w:r>
        <w:rPr>
          <w:spacing w:val="-7"/>
        </w:rPr>
        <w:t> </w:t>
      </w:r>
      <w:r>
        <w:rPr/>
        <w:t>de</w:t>
      </w:r>
      <w:r>
        <w:rPr>
          <w:spacing w:val="-6"/>
        </w:rPr>
        <w:t> </w:t>
      </w:r>
      <w:r>
        <w:rPr/>
        <w:t>20</w:t>
      </w:r>
      <w:r>
        <w:rPr>
          <w:spacing w:val="-7"/>
        </w:rPr>
        <w:t> </w:t>
      </w:r>
      <w:r>
        <w:rPr/>
        <w:t>años</w:t>
      </w:r>
      <w:r>
        <w:rPr>
          <w:spacing w:val="-7"/>
        </w:rPr>
        <w:t> </w:t>
      </w:r>
      <w:r>
        <w:rPr/>
        <w:t>de</w:t>
      </w:r>
      <w:r>
        <w:rPr>
          <w:spacing w:val="-6"/>
        </w:rPr>
        <w:t> </w:t>
      </w:r>
      <w:r>
        <w:rPr/>
        <w:t>experiencia</w:t>
      </w:r>
      <w:r>
        <w:rPr>
          <w:spacing w:val="-5"/>
        </w:rPr>
        <w:t> </w:t>
      </w:r>
      <w:r>
        <w:rPr/>
        <w:t>en</w:t>
      </w:r>
      <w:r>
        <w:rPr>
          <w:spacing w:val="-6"/>
        </w:rPr>
        <w:t> </w:t>
      </w:r>
      <w:r>
        <w:rPr/>
        <w:t>la</w:t>
      </w:r>
      <w:r>
        <w:rPr>
          <w:spacing w:val="-9"/>
        </w:rPr>
        <w:t> </w:t>
      </w:r>
      <w:r>
        <w:rPr/>
        <w:t>importación</w:t>
      </w:r>
      <w:r>
        <w:rPr>
          <w:spacing w:val="-6"/>
        </w:rPr>
        <w:t> </w:t>
      </w:r>
      <w:r>
        <w:rPr/>
        <w:t>y comercialización de llanta, baterías, lubricantes, reencauche y aromatizantes al mercado</w:t>
      </w:r>
      <w:r>
        <w:rPr>
          <w:spacing w:val="-3"/>
        </w:rPr>
        <w:t> </w:t>
      </w:r>
      <w:r>
        <w:rPr/>
        <w:t>nacional.</w:t>
      </w:r>
    </w:p>
    <w:p>
      <w:pPr>
        <w:pStyle w:val="BodyText"/>
        <w:spacing w:before="4"/>
        <w:rPr>
          <w:sz w:val="21"/>
        </w:rPr>
      </w:pPr>
    </w:p>
    <w:p>
      <w:pPr>
        <w:spacing w:after="0"/>
        <w:rPr>
          <w:sz w:val="21"/>
        </w:rPr>
        <w:sectPr>
          <w:pgSz w:w="12250" w:h="15850"/>
          <w:pgMar w:header="720" w:footer="1363" w:top="1560" w:bottom="1560" w:left="620" w:right="620"/>
        </w:sectPr>
      </w:pPr>
    </w:p>
    <w:p>
      <w:pPr>
        <w:spacing w:line="253" w:lineRule="exact" w:before="141"/>
        <w:ind w:left="0" w:right="0" w:firstLine="0"/>
        <w:jc w:val="right"/>
        <w:rPr>
          <w:rFonts w:ascii="Calibri"/>
          <w:sz w:val="21"/>
        </w:rPr>
      </w:pPr>
      <w:r>
        <w:rPr/>
        <w:pict>
          <v:shape style="position:absolute;margin-left:281.553467pt;margin-top:4.746330pt;width:58.1pt;height:57.7pt;mso-position-horizontal-relative:page;mso-position-vertical-relative:paragraph;z-index:-252069888" coordorigin="5631,95" coordsize="1162,1154" path="m5840,1004l5739,1070,5675,1134,5641,1189,5631,1229,5639,1244,5645,1248,5723,1248,5726,1246,5654,1246,5664,1203,5702,1142,5762,1073,5840,1004xm6128,95l6105,110,6093,146,6088,187,6088,216,6088,242,6091,270,6095,300,6099,330,6105,361,6112,393,6119,426,6128,458,6123,484,6108,530,6084,591,6054,665,6017,746,5975,833,5930,920,5883,1004,5834,1081,5786,1147,5739,1199,5694,1234,5654,1246,5726,1246,5766,1217,5820,1159,5883,1073,5954,957,5965,954,5954,954,6013,847,6059,757,6094,682,6119,619,6137,567,6149,523,6191,523,6164,454,6173,394,6149,394,6135,342,6126,292,6121,245,6120,203,6120,185,6123,155,6130,123,6144,102,6173,102,6158,96,6128,95xm6763,951l6752,953,6743,959,6737,968,6735,980,6735,995,6748,1007,6763,1007,6775,1005,6781,1001,6751,1001,6740,991,6740,967,6751,957,6781,957,6775,953,6763,951xm6781,957l6777,957,6785,967,6785,991,6777,1001,6781,1001,6784,999,6790,990,6792,980,6790,968,6784,959,6781,957xm6771,961l6752,961,6752,995,6758,995,6758,982,6773,982,6772,981,6769,980,6776,977,6758,977,6758,968,6775,968,6775,965,6771,961xm6773,982l6765,982,6768,986,6769,989,6770,995,6776,995,6775,989,6775,984,6773,982xm6775,968l6766,968,6769,969,6769,976,6765,977,6776,977,6776,972,6775,968xm6191,523l6149,523,6200,629,6253,708,6305,764,6352,802,6392,827,6321,840,6249,857,6175,876,6100,899,6026,924,5954,954,5965,954,6026,934,6104,913,6186,895,6269,879,6353,866,6435,857,6524,857,6505,848,6585,845,6768,845,6738,828,6694,819,6453,819,6426,803,6398,786,6372,769,6347,750,6288,690,6238,619,6197,539,6191,523xm6524,857l6435,857,6513,892,6590,918,6660,935,6719,941,6744,939,6762,934,6774,926,6776,922,6744,922,6697,916,6639,901,6574,878,6524,857xm6781,913l6772,917,6759,922,6776,922,6781,913xm6768,845l6585,845,6679,847,6755,863,6785,900,6789,892,6792,889,6792,880,6778,850,6768,845xm6595,810l6563,811,6529,813,6453,819,6694,819,6675,815,6595,810xm6185,192l6178,227,6171,272,6161,327,6149,394,6173,394,6174,387,6179,321,6182,257,6185,192xm6173,102l6144,102,6157,110,6169,123,6179,143,6185,171,6189,127,6179,104,6173,102xe" filled="true" fillcolor="#ffd8d8" stroked="false">
            <v:path arrowok="t"/>
            <v:fill type="solid"/>
            <w10:wrap type="none"/>
          </v:shape>
        </w:pict>
      </w:r>
      <w:r>
        <w:rPr>
          <w:rFonts w:ascii="Calibri"/>
          <w:w w:val="105"/>
          <w:sz w:val="21"/>
        </w:rPr>
        <w:t>JEHUDIT</w:t>
      </w:r>
    </w:p>
    <w:p>
      <w:pPr>
        <w:spacing w:before="102"/>
        <w:ind w:left="317" w:right="4455" w:firstLine="0"/>
        <w:jc w:val="left"/>
        <w:rPr>
          <w:rFonts w:ascii="Calibri"/>
          <w:sz w:val="13"/>
        </w:rPr>
      </w:pPr>
      <w:r>
        <w:rPr/>
        <w:br w:type="column"/>
      </w:r>
      <w:r>
        <w:rPr>
          <w:rFonts w:ascii="Calibri"/>
          <w:w w:val="105"/>
          <w:sz w:val="13"/>
        </w:rPr>
        <w:t>Firmado digitalmente por</w:t>
      </w:r>
    </w:p>
    <w:p>
      <w:pPr>
        <w:spacing w:after="0"/>
        <w:jc w:val="left"/>
        <w:rPr>
          <w:rFonts w:ascii="Calibri"/>
          <w:sz w:val="13"/>
        </w:rPr>
        <w:sectPr>
          <w:type w:val="continuous"/>
          <w:pgSz w:w="12250" w:h="15850"/>
          <w:pgMar w:top="1560" w:bottom="1560" w:left="620" w:right="620"/>
          <w:cols w:num="2" w:equalWidth="0">
            <w:col w:w="5252" w:space="40"/>
            <w:col w:w="5718"/>
          </w:cols>
        </w:sectPr>
      </w:pPr>
    </w:p>
    <w:p>
      <w:pPr>
        <w:spacing w:line="196" w:lineRule="exact" w:before="0"/>
        <w:ind w:left="2732" w:right="3161" w:firstLine="0"/>
        <w:jc w:val="center"/>
        <w:rPr>
          <w:rFonts w:ascii="Calibri"/>
          <w:sz w:val="13"/>
        </w:rPr>
      </w:pPr>
      <w:r>
        <w:rPr>
          <w:rFonts w:ascii="Calibri"/>
          <w:w w:val="105"/>
          <w:sz w:val="21"/>
        </w:rPr>
        <w:t>NATURMAN </w:t>
      </w:r>
      <w:r>
        <w:rPr>
          <w:rFonts w:ascii="Calibri"/>
          <w:w w:val="105"/>
          <w:position w:val="5"/>
          <w:sz w:val="13"/>
        </w:rPr>
        <w:t>JEHUDIT</w:t>
      </w:r>
    </w:p>
    <w:p>
      <w:pPr>
        <w:spacing w:line="34" w:lineRule="exact" w:before="0"/>
        <w:ind w:left="878" w:right="0" w:firstLine="0"/>
        <w:jc w:val="center"/>
        <w:rPr>
          <w:rFonts w:ascii="Calibri"/>
          <w:sz w:val="13"/>
        </w:rPr>
      </w:pPr>
      <w:r>
        <w:rPr>
          <w:rFonts w:ascii="Calibri"/>
          <w:w w:val="105"/>
          <w:sz w:val="13"/>
        </w:rPr>
        <w:t>NATURMAN</w:t>
      </w:r>
    </w:p>
    <w:p>
      <w:pPr>
        <w:spacing w:after="0" w:line="34" w:lineRule="exact"/>
        <w:jc w:val="center"/>
        <w:rPr>
          <w:rFonts w:ascii="Calibri"/>
          <w:sz w:val="13"/>
        </w:rPr>
        <w:sectPr>
          <w:type w:val="continuous"/>
          <w:pgSz w:w="12250" w:h="15850"/>
          <w:pgMar w:top="1560" w:bottom="1560" w:left="620" w:right="620"/>
        </w:sectPr>
      </w:pPr>
    </w:p>
    <w:p>
      <w:pPr>
        <w:spacing w:before="3"/>
        <w:ind w:left="4491" w:right="0" w:firstLine="0"/>
        <w:jc w:val="left"/>
        <w:rPr>
          <w:rFonts w:ascii="Calibri"/>
          <w:sz w:val="21"/>
        </w:rPr>
      </w:pPr>
      <w:r>
        <w:rPr>
          <w:rFonts w:ascii="Calibri"/>
          <w:sz w:val="21"/>
        </w:rPr>
        <w:t>STENBERG (FIRMA)</w:t>
      </w:r>
    </w:p>
    <w:p>
      <w:pPr>
        <w:spacing w:before="86"/>
        <w:ind w:left="147" w:right="4061" w:firstLine="0"/>
        <w:jc w:val="left"/>
        <w:rPr>
          <w:rFonts w:ascii="Calibri"/>
          <w:sz w:val="13"/>
        </w:rPr>
      </w:pPr>
      <w:r>
        <w:rPr/>
        <w:br w:type="column"/>
      </w:r>
      <w:r>
        <w:rPr>
          <w:rFonts w:ascii="Calibri"/>
          <w:sz w:val="13"/>
        </w:rPr>
        <w:t>STENBERG (FIRMA) Fecha: 2020.02.03</w:t>
      </w:r>
    </w:p>
    <w:p>
      <w:pPr>
        <w:spacing w:line="158" w:lineRule="exact" w:before="0"/>
        <w:ind w:left="147" w:right="0" w:firstLine="0"/>
        <w:jc w:val="left"/>
        <w:rPr>
          <w:rFonts w:ascii="Calibri"/>
          <w:sz w:val="13"/>
        </w:rPr>
      </w:pPr>
      <w:r>
        <w:rPr>
          <w:rFonts w:ascii="Calibri"/>
          <w:sz w:val="13"/>
        </w:rPr>
        <w:t>11:41:36 -06'00'</w:t>
      </w:r>
    </w:p>
    <w:p>
      <w:pPr>
        <w:spacing w:after="0" w:line="158" w:lineRule="exact"/>
        <w:jc w:val="left"/>
        <w:rPr>
          <w:rFonts w:ascii="Calibri"/>
          <w:sz w:val="13"/>
        </w:rPr>
        <w:sectPr>
          <w:type w:val="continuous"/>
          <w:pgSz w:w="12250" w:h="15850"/>
          <w:pgMar w:top="1560" w:bottom="1560" w:left="620" w:right="620"/>
          <w:cols w:num="2" w:equalWidth="0">
            <w:col w:w="5422" w:space="40"/>
            <w:col w:w="5548"/>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19"/>
        </w:rPr>
      </w:pPr>
    </w:p>
    <w:p>
      <w:pPr>
        <w:pStyle w:val="Heading1"/>
        <w:spacing w:before="92"/>
        <w:ind w:left="0"/>
        <w:jc w:val="center"/>
      </w:pPr>
      <w:r>
        <w:rPr/>
        <w:t>DOCUMENTOS PRESENTADOS</w:t>
      </w:r>
    </w:p>
    <w:p>
      <w:pPr>
        <w:pStyle w:val="BodyText"/>
        <w:rPr>
          <w:b/>
        </w:rPr>
      </w:pPr>
    </w:p>
    <w:p>
      <w:pPr>
        <w:pStyle w:val="BodyText"/>
        <w:ind w:left="1082"/>
      </w:pPr>
      <w:r>
        <w:rPr/>
        <w:t>-Copia de Personería Jurídica y acciones.</w:t>
      </w:r>
    </w:p>
    <w:p>
      <w:pPr>
        <w:pStyle w:val="BodyText"/>
      </w:pPr>
    </w:p>
    <w:p>
      <w:pPr>
        <w:pStyle w:val="BodyText"/>
        <w:ind w:left="1082"/>
      </w:pPr>
      <w:r>
        <w:rPr/>
        <w:t>-Copia de la cedula de identidad del representante legal.</w:t>
      </w:r>
    </w:p>
    <w:p>
      <w:pPr>
        <w:pStyle w:val="BodyText"/>
      </w:pPr>
    </w:p>
    <w:p>
      <w:pPr>
        <w:pStyle w:val="BodyText"/>
        <w:spacing w:before="1"/>
        <w:ind w:left="1082"/>
      </w:pPr>
      <w:r>
        <w:rPr/>
        <w:t>-Copia de Certificación de CCSS, sobre las cuotas obrero patronales.</w:t>
      </w:r>
    </w:p>
    <w:p>
      <w:pPr>
        <w:pStyle w:val="BodyText"/>
      </w:pPr>
    </w:p>
    <w:p>
      <w:pPr>
        <w:pStyle w:val="BodyText"/>
        <w:ind w:left="1082"/>
      </w:pPr>
      <w:r>
        <w:rPr/>
        <w:t>-Copia de Certificación de Fodesaf.</w:t>
      </w:r>
    </w:p>
    <w:p>
      <w:pPr>
        <w:pStyle w:val="BodyText"/>
      </w:pPr>
    </w:p>
    <w:p>
      <w:pPr>
        <w:pStyle w:val="BodyText"/>
        <w:ind w:left="1082"/>
      </w:pPr>
      <w:r>
        <w:rPr/>
        <w:t>-Copia de Oferta.</w:t>
      </w:r>
    </w:p>
    <w:p>
      <w:pPr>
        <w:pStyle w:val="BodyText"/>
      </w:pPr>
    </w:p>
    <w:p>
      <w:pPr>
        <w:pStyle w:val="BodyText"/>
        <w:ind w:left="1082"/>
      </w:pPr>
      <w:r>
        <w:rPr/>
        <w:t>-Ficha técnica.</w:t>
      </w:r>
    </w:p>
    <w:p>
      <w:pPr>
        <w:pStyle w:val="BodyText"/>
      </w:pPr>
    </w:p>
    <w:p>
      <w:pPr>
        <w:pStyle w:val="BodyText"/>
        <w:ind w:left="1082"/>
      </w:pPr>
      <w:r>
        <w:rPr/>
        <w:t>-Unidad de Cumplimiento.</w:t>
      </w:r>
    </w:p>
    <w:p>
      <w:pPr>
        <w:pStyle w:val="BodyText"/>
        <w:rPr>
          <w:sz w:val="26"/>
        </w:rPr>
      </w:pPr>
    </w:p>
    <w:p>
      <w:pPr>
        <w:pStyle w:val="BodyText"/>
        <w:rPr>
          <w:sz w:val="22"/>
        </w:rPr>
      </w:pPr>
    </w:p>
    <w:p>
      <w:pPr>
        <w:pStyle w:val="BodyText"/>
        <w:ind w:left="1082"/>
      </w:pPr>
      <w:r>
        <w:rPr>
          <w:u w:val="single"/>
        </w:rPr>
        <w:t>Oferta elaborada por: (Persona encargada de contacto y recibo de notificaciones)</w:t>
      </w:r>
    </w:p>
    <w:p>
      <w:pPr>
        <w:pStyle w:val="BodyText"/>
        <w:ind w:left="1082"/>
      </w:pPr>
      <w:r>
        <w:rPr/>
        <w:t>-Norman Avendaño Godoy.</w:t>
      </w:r>
    </w:p>
    <w:p>
      <w:pPr>
        <w:pStyle w:val="BodyText"/>
        <w:spacing w:before="1"/>
        <w:ind w:left="1082"/>
      </w:pPr>
      <w:r>
        <w:rPr/>
        <w:t>-Teléfono: 2586-7050 Ext. 113 Fax 2227-2200 Celular: 7163-4242</w:t>
      </w:r>
    </w:p>
    <w:p>
      <w:pPr>
        <w:pStyle w:val="BodyText"/>
        <w:ind w:left="1082"/>
      </w:pPr>
      <w:r>
        <w:rPr/>
        <w:t>-Correo: </w:t>
      </w:r>
      <w:hyperlink r:id="rId11">
        <w:r>
          <w:rPr>
            <w:color w:val="0000FF"/>
            <w:u w:val="single" w:color="0000FF"/>
          </w:rPr>
          <w:t>navendano@fanast.com</w:t>
        </w:r>
      </w:hyperlink>
    </w:p>
    <w:p>
      <w:pPr>
        <w:pStyle w:val="BodyText"/>
        <w:ind w:left="1082"/>
      </w:pPr>
      <w:r>
        <w:rPr/>
        <w:t>-San José, contiguo al parqueo de Walmart San Sebastián.</w:t>
      </w:r>
    </w:p>
    <w:p>
      <w:pPr>
        <w:pStyle w:val="BodyText"/>
        <w:rPr>
          <w:sz w:val="20"/>
        </w:rPr>
      </w:pPr>
    </w:p>
    <w:p>
      <w:pPr>
        <w:pStyle w:val="BodyText"/>
        <w:spacing w:before="8"/>
      </w:pPr>
      <w:r>
        <w:rPr/>
        <w:drawing>
          <wp:anchor distT="0" distB="0" distL="0" distR="0" allowOverlap="1" layoutInCell="1" locked="0" behindDoc="0" simplePos="0" relativeHeight="5">
            <wp:simplePos x="0" y="0"/>
            <wp:positionH relativeFrom="page">
              <wp:posOffset>1168220</wp:posOffset>
            </wp:positionH>
            <wp:positionV relativeFrom="paragraph">
              <wp:posOffset>205307</wp:posOffset>
            </wp:positionV>
            <wp:extent cx="1865093" cy="1115568"/>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1865093" cy="1115568"/>
                    </a:xfrm>
                    <a:prstGeom prst="rect">
                      <a:avLst/>
                    </a:prstGeom>
                  </pic:spPr>
                </pic:pic>
              </a:graphicData>
            </a:graphic>
          </wp:anchor>
        </w:drawing>
      </w:r>
    </w:p>
    <w:sectPr>
      <w:pgSz w:w="12250" w:h="15850"/>
      <w:pgMar w:header="720" w:footer="1363" w:top="1560" w:bottom="156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2.019997pt;margin-top:712.992371pt;width:406.3pt;height:43.95pt;mso-position-horizontal-relative:page;mso-position-vertical-relative:page;z-index:-252072960" type="#_x0000_t202" filled="false" stroked="false">
          <v:textbox inset="0,0,0,0">
            <w:txbxContent>
              <w:p>
                <w:pPr>
                  <w:spacing w:before="15"/>
                  <w:ind w:left="154" w:right="900" w:hanging="135"/>
                  <w:jc w:val="left"/>
                  <w:rPr>
                    <w:rFonts w:ascii="Book Antiqua" w:hAnsi="Book Antiqua"/>
                    <w:sz w:val="16"/>
                  </w:rPr>
                </w:pPr>
                <w:r>
                  <w:rPr>
                    <w:rFonts w:ascii="Book Antiqua" w:hAnsi="Book Antiqua"/>
                    <w:color w:val="666666"/>
                    <w:sz w:val="16"/>
                  </w:rPr>
                  <w:t>Importadora AD NAT S.A. Cedula Jurídica 3-101-167171 Tels: 2586-7050/2586-7055 Fax: 2227-2200 Dirección: Contiguo al parqueo de Wal-Mart, San Sebastián - P.O. Box 912-1000 San José, Costa Rica</w:t>
                </w:r>
              </w:p>
              <w:p>
                <w:pPr>
                  <w:spacing w:line="195" w:lineRule="exact" w:before="0"/>
                  <w:ind w:left="2226" w:right="0" w:firstLine="0"/>
                  <w:jc w:val="left"/>
                  <w:rPr>
                    <w:rFonts w:ascii="Book Antiqua" w:hAnsi="Book Antiqua"/>
                    <w:sz w:val="16"/>
                  </w:rPr>
                </w:pPr>
                <w:r>
                  <w:rPr>
                    <w:rFonts w:ascii="Book Antiqua" w:hAnsi="Book Antiqua"/>
                    <w:color w:val="666666"/>
                    <w:sz w:val="16"/>
                  </w:rPr>
                  <w:t>Correo Electrónico: </w:t>
                </w:r>
                <w:hyperlink r:id="rId1">
                  <w:r>
                    <w:rPr>
                      <w:rFonts w:ascii="Book Antiqua" w:hAnsi="Book Antiqua"/>
                      <w:color w:val="666666"/>
                      <w:sz w:val="16"/>
                    </w:rPr>
                    <w:t>ventas32@fanast.com</w:t>
                  </w:r>
                </w:hyperlink>
              </w:p>
              <w:p>
                <w:pPr>
                  <w:spacing w:line="251" w:lineRule="exact" w:before="0"/>
                  <w:ind w:left="0" w:right="18" w:firstLine="0"/>
                  <w:jc w:val="right"/>
                  <w:rPr>
                    <w:b/>
                    <w:sz w:val="22"/>
                  </w:rPr>
                </w:pPr>
                <w:r>
                  <w:rPr>
                    <w:color w:val="538DD3"/>
                    <w:sz w:val="22"/>
                  </w:rPr>
                  <w:t>Página </w:t>
                </w:r>
                <w:r>
                  <w:rPr/>
                  <w:fldChar w:fldCharType="begin"/>
                </w:r>
                <w:r>
                  <w:rPr>
                    <w:b/>
                    <w:color w:val="1F487C"/>
                    <w:sz w:val="22"/>
                  </w:rPr>
                  <w:instrText> PAGE </w:instrText>
                </w:r>
                <w:r>
                  <w:rPr/>
                  <w:fldChar w:fldCharType="separate"/>
                </w:r>
                <w:r>
                  <w:rPr/>
                  <w:t>1</w:t>
                </w:r>
                <w:r>
                  <w:rPr/>
                  <w:fldChar w:fldCharType="end"/>
                </w:r>
                <w:r>
                  <w:rPr>
                    <w:b/>
                    <w:color w:val="1F487C"/>
                    <w:sz w:val="22"/>
                  </w:rPr>
                  <w:t> </w:t>
                </w:r>
                <w:r>
                  <w:rPr>
                    <w:color w:val="538DD3"/>
                    <w:sz w:val="22"/>
                  </w:rPr>
                  <w:t>de </w:t>
                </w:r>
                <w:r>
                  <w:rPr>
                    <w:b/>
                    <w:color w:val="1F487C"/>
                    <w:sz w:val="22"/>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42496">
          <wp:simplePos x="0" y="0"/>
          <wp:positionH relativeFrom="page">
            <wp:posOffset>3039110</wp:posOffset>
          </wp:positionH>
          <wp:positionV relativeFrom="page">
            <wp:posOffset>457199</wp:posOffset>
          </wp:positionV>
          <wp:extent cx="1714500" cy="51435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14500" cy="5143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82" w:hanging="173"/>
      </w:pPr>
      <w:rPr>
        <w:rFonts w:hint="default" w:ascii="Arial" w:hAnsi="Arial" w:eastAsia="Arial" w:cs="Arial"/>
        <w:w w:val="100"/>
        <w:sz w:val="24"/>
        <w:szCs w:val="24"/>
        <w:lang w:val="es-ES" w:eastAsia="es-ES" w:bidi="es-ES"/>
      </w:rPr>
    </w:lvl>
    <w:lvl w:ilvl="1">
      <w:start w:val="0"/>
      <w:numFmt w:val="bullet"/>
      <w:lvlText w:val="•"/>
      <w:lvlJc w:val="left"/>
      <w:pPr>
        <w:ind w:left="2072" w:hanging="173"/>
      </w:pPr>
      <w:rPr>
        <w:rFonts w:hint="default"/>
        <w:lang w:val="es-ES" w:eastAsia="es-ES" w:bidi="es-ES"/>
      </w:rPr>
    </w:lvl>
    <w:lvl w:ilvl="2">
      <w:start w:val="0"/>
      <w:numFmt w:val="bullet"/>
      <w:lvlText w:val="•"/>
      <w:lvlJc w:val="left"/>
      <w:pPr>
        <w:ind w:left="3064" w:hanging="173"/>
      </w:pPr>
      <w:rPr>
        <w:rFonts w:hint="default"/>
        <w:lang w:val="es-ES" w:eastAsia="es-ES" w:bidi="es-ES"/>
      </w:rPr>
    </w:lvl>
    <w:lvl w:ilvl="3">
      <w:start w:val="0"/>
      <w:numFmt w:val="bullet"/>
      <w:lvlText w:val="•"/>
      <w:lvlJc w:val="left"/>
      <w:pPr>
        <w:ind w:left="4056" w:hanging="173"/>
      </w:pPr>
      <w:rPr>
        <w:rFonts w:hint="default"/>
        <w:lang w:val="es-ES" w:eastAsia="es-ES" w:bidi="es-ES"/>
      </w:rPr>
    </w:lvl>
    <w:lvl w:ilvl="4">
      <w:start w:val="0"/>
      <w:numFmt w:val="bullet"/>
      <w:lvlText w:val="•"/>
      <w:lvlJc w:val="left"/>
      <w:pPr>
        <w:ind w:left="5048" w:hanging="173"/>
      </w:pPr>
      <w:rPr>
        <w:rFonts w:hint="default"/>
        <w:lang w:val="es-ES" w:eastAsia="es-ES" w:bidi="es-ES"/>
      </w:rPr>
    </w:lvl>
    <w:lvl w:ilvl="5">
      <w:start w:val="0"/>
      <w:numFmt w:val="bullet"/>
      <w:lvlText w:val="•"/>
      <w:lvlJc w:val="left"/>
      <w:pPr>
        <w:ind w:left="6041" w:hanging="173"/>
      </w:pPr>
      <w:rPr>
        <w:rFonts w:hint="default"/>
        <w:lang w:val="es-ES" w:eastAsia="es-ES" w:bidi="es-ES"/>
      </w:rPr>
    </w:lvl>
    <w:lvl w:ilvl="6">
      <w:start w:val="0"/>
      <w:numFmt w:val="bullet"/>
      <w:lvlText w:val="•"/>
      <w:lvlJc w:val="left"/>
      <w:pPr>
        <w:ind w:left="7033" w:hanging="173"/>
      </w:pPr>
      <w:rPr>
        <w:rFonts w:hint="default"/>
        <w:lang w:val="es-ES" w:eastAsia="es-ES" w:bidi="es-ES"/>
      </w:rPr>
    </w:lvl>
    <w:lvl w:ilvl="7">
      <w:start w:val="0"/>
      <w:numFmt w:val="bullet"/>
      <w:lvlText w:val="•"/>
      <w:lvlJc w:val="left"/>
      <w:pPr>
        <w:ind w:left="8025" w:hanging="173"/>
      </w:pPr>
      <w:rPr>
        <w:rFonts w:hint="default"/>
        <w:lang w:val="es-ES" w:eastAsia="es-ES" w:bidi="es-ES"/>
      </w:rPr>
    </w:lvl>
    <w:lvl w:ilvl="8">
      <w:start w:val="0"/>
      <w:numFmt w:val="bullet"/>
      <w:lvlText w:val="•"/>
      <w:lvlJc w:val="left"/>
      <w:pPr>
        <w:ind w:left="9017" w:hanging="173"/>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082"/>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1082" w:hanging="154"/>
    </w:pPr>
    <w:rPr>
      <w:rFonts w:ascii="Arial" w:hAnsi="Arial" w:eastAsia="Arial" w:cs="Arial"/>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naturman@fanast.com" TargetMode="External"/><Relationship Id="rId8" Type="http://schemas.openxmlformats.org/officeDocument/2006/relationships/hyperlink" Target="https://www.poder-judicial.go.cr/proveeduria"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mailto:navendano@fanast.com" TargetMode="External"/><Relationship Id="rId12" Type="http://schemas.openxmlformats.org/officeDocument/2006/relationships/image" Target="media/image4.jpeg"/><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ventas32@fan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Nely Fonsaca Corrales</dc:creator>
  <dc:title>Contratación Directa No</dc:title>
  <dcterms:created xsi:type="dcterms:W3CDTF">2020-05-07T20:18:28Z</dcterms:created>
  <dcterms:modified xsi:type="dcterms:W3CDTF">2020-05-07T20:18:28Z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2020-02-02T00:00:00Z</vt:filetime>
  </property>
  <property fmtid="{D5CDD505-2E9C-101B-9397-08002B2CF9AE}" pid="3" name="Creator">
    <vt:lpwstr>Microsoft® Word 2016</vt:lpwstr>
  </property>
  <property fmtid="{D5CDD505-2E9C-101B-9397-08002B2CF9AE}" pid="4" name="LastSaved">
    <vt:filetime>2020-05-07T00:00:00Z</vt:filetime>
  </property>
</Properties>
</file>