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CC" w:rsidRDefault="000345C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345CC" w:rsidRDefault="000345C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345CC" w:rsidRDefault="00817326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0345CC" w:rsidRDefault="000345CC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0345CC" w:rsidRDefault="000345CC">
      <w:pPr>
        <w:rPr>
          <w:rFonts w:ascii="Tahoma" w:eastAsia="Tahoma" w:hAnsi="Tahoma" w:cs="Tahoma"/>
          <w:sz w:val="17"/>
          <w:szCs w:val="17"/>
        </w:rPr>
        <w:sectPr w:rsidR="000345CC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0345CC" w:rsidRDefault="00817326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0345CC" w:rsidRDefault="00817326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2019CD-000084-PROVCD</w:t>
      </w:r>
    </w:p>
    <w:p w:rsidR="000345CC" w:rsidRDefault="000345CC">
      <w:pPr>
        <w:rPr>
          <w:rFonts w:ascii="Tahoma" w:eastAsia="Tahoma" w:hAnsi="Tahoma" w:cs="Tahoma"/>
        </w:rPr>
        <w:sectPr w:rsidR="000345CC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0345CC" w:rsidRDefault="00817326">
      <w:pPr>
        <w:spacing w:before="159"/>
        <w:ind w:left="3632" w:right="3836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 xml:space="preserve">Adquisición de Guantes de Nitrilo para el </w:t>
      </w:r>
      <w:r>
        <w:rPr>
          <w:rFonts w:ascii="Tahoma" w:hAnsi="Tahoma"/>
          <w:spacing w:val="-1"/>
        </w:rPr>
        <w:t>personal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del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Departamento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Ciencias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ahoma" w:hAnsi="Tahoma"/>
          <w:spacing w:val="-1"/>
        </w:rPr>
        <w:t>Forenses</w:t>
      </w:r>
    </w:p>
    <w:p w:rsidR="000345CC" w:rsidRDefault="000345CC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0345CC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0345CC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29/03/2019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11:00:00</w:t>
            </w:r>
          </w:p>
        </w:tc>
      </w:tr>
    </w:tbl>
    <w:p w:rsidR="000345CC" w:rsidRDefault="000345CC">
      <w:pPr>
        <w:spacing w:before="9"/>
        <w:rPr>
          <w:rFonts w:ascii="Tahoma" w:eastAsia="Tahoma" w:hAnsi="Tahoma" w:cs="Tahoma"/>
          <w:sz w:val="8"/>
          <w:szCs w:val="8"/>
        </w:rPr>
      </w:pPr>
    </w:p>
    <w:p w:rsidR="000345CC" w:rsidRDefault="00817326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0345CC" w:rsidRDefault="000345CC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0345CC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3101095926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Sondel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0109350974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JAVIER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GERARDO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BONILLA</w:t>
            </w:r>
            <w:r>
              <w:rPr>
                <w:rFonts w:ascii="Tahoma"/>
                <w:spacing w:val="5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ARGUEDAS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JAVIER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GERARDO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BONILLA</w:t>
            </w:r>
            <w:r>
              <w:rPr>
                <w:rFonts w:ascii="Tahoma"/>
                <w:spacing w:val="5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ARGUEDAS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servicioalcliente4@sondelsa.com</w:t>
              </w:r>
            </w:hyperlink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24309880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HELEN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CARMEN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MEJIA</w:t>
            </w:r>
            <w:r>
              <w:rPr>
                <w:rFonts w:ascii="Tahoma"/>
                <w:spacing w:val="5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VENEGAS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0345CC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Alajuela,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150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oeste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Molinos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Costa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Rica</w:t>
            </w:r>
          </w:p>
        </w:tc>
      </w:tr>
    </w:tbl>
    <w:p w:rsidR="000345CC" w:rsidRDefault="000345CC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0345CC" w:rsidRDefault="00817326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0345CC" w:rsidRDefault="000345CC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345CC" w:rsidRDefault="000345CC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0345CC" w:rsidRDefault="00817326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0345CC" w:rsidRDefault="000345CC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0345CC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¢6,220,500.00</w:t>
            </w:r>
          </w:p>
        </w:tc>
      </w:tr>
      <w:tr w:rsidR="000345CC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</w:tbl>
    <w:p w:rsidR="000345CC" w:rsidRDefault="000345CC">
      <w:pPr>
        <w:rPr>
          <w:rFonts w:ascii="Tahoma" w:eastAsia="Tahoma" w:hAnsi="Tahoma" w:cs="Tahoma"/>
          <w:sz w:val="20"/>
          <w:szCs w:val="20"/>
        </w:rPr>
        <w:sectPr w:rsidR="000345CC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0345CC" w:rsidRDefault="000345CC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0345CC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07/05/2019</w:t>
            </w:r>
          </w:p>
        </w:tc>
      </w:tr>
      <w:tr w:rsidR="000345CC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 adjunta oferta económica con toda la documentación</w:t>
            </w:r>
          </w:p>
          <w:p w:rsidR="000345CC" w:rsidRDefault="00817326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requerida</w:t>
            </w:r>
          </w:p>
        </w:tc>
      </w:tr>
    </w:tbl>
    <w:p w:rsidR="000345CC" w:rsidRDefault="000345CC">
      <w:pPr>
        <w:spacing w:before="10"/>
        <w:rPr>
          <w:rFonts w:ascii="Tahoma" w:eastAsia="Tahoma" w:hAnsi="Tahoma" w:cs="Tahoma"/>
          <w:b/>
          <w:bCs/>
          <w:sz w:val="6"/>
          <w:szCs w:val="6"/>
        </w:rPr>
      </w:pPr>
    </w:p>
    <w:p w:rsidR="000345CC" w:rsidRDefault="00817326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0345CC" w:rsidRDefault="000345CC">
      <w:pPr>
        <w:spacing w:before="8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81732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GUANTES DE NITRILO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0345CC"/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222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¢5,500.00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¢1,221,000.00</w:t>
            </w:r>
          </w:p>
        </w:tc>
      </w:tr>
      <w:tr w:rsidR="000345CC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</w:t>
            </w:r>
            <w:r>
              <w:rPr>
                <w:rFonts w:ascii="Tahoma" w:hAnsi="Tahoma"/>
                <w:sz w:val="20"/>
              </w:rPr>
              <w:t xml:space="preserve"> correo electrónico lo que ocurra primero.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0345CC">
        <w:trPr>
          <w:trHeight w:hRule="exact" w:val="1532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36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Nitrilo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ANSELL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PM-SE-690</w:t>
            </w:r>
          </w:p>
          <w:p w:rsidR="000345CC" w:rsidRDefault="00817326">
            <w:pPr>
              <w:pStyle w:val="TableParagraph"/>
              <w:ind w:left="30" w:right="14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venta: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CAJA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 100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Tallas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disponibles: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XS,S,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XL.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 adjunta detalle de oferta y ficha técnica del fabricante</w:t>
            </w:r>
          </w:p>
        </w:tc>
      </w:tr>
    </w:tbl>
    <w:p w:rsidR="000345CC" w:rsidRDefault="000345CC">
      <w:pPr>
        <w:rPr>
          <w:rFonts w:ascii="Tahoma" w:eastAsia="Tahoma" w:hAnsi="Tahoma" w:cs="Tahoma"/>
          <w:sz w:val="20"/>
          <w:szCs w:val="20"/>
        </w:rPr>
        <w:sectPr w:rsidR="000345CC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0345CC" w:rsidRDefault="000345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45CC" w:rsidRDefault="000345C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0345CC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81732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0345CC"/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¢5,500.00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¢660,000.00</w:t>
            </w:r>
          </w:p>
        </w:tc>
      </w:tr>
      <w:tr w:rsidR="000345CC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0345CC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36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Nitrilo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ANSELL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PM-SE-690</w:t>
            </w:r>
          </w:p>
          <w:p w:rsidR="000345CC" w:rsidRDefault="00817326">
            <w:pPr>
              <w:pStyle w:val="TableParagraph"/>
              <w:ind w:left="30" w:right="14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venta: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CAJA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 100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Tallas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disponibles: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XS,S,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XL.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 adjunta detalle de oferta y ficha técnica del fabricante</w:t>
            </w:r>
          </w:p>
        </w:tc>
      </w:tr>
    </w:tbl>
    <w:p w:rsidR="000345CC" w:rsidRDefault="000345CC">
      <w:pPr>
        <w:rPr>
          <w:rFonts w:ascii="Tahoma" w:eastAsia="Tahoma" w:hAnsi="Tahoma" w:cs="Tahoma"/>
          <w:sz w:val="20"/>
          <w:szCs w:val="20"/>
        </w:rPr>
        <w:sectPr w:rsidR="000345CC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0345CC" w:rsidRDefault="000345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45CC" w:rsidRDefault="000345C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0345CC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81732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0345CC"/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¢5,500.00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¢16,500.00</w:t>
            </w:r>
          </w:p>
        </w:tc>
      </w:tr>
      <w:tr w:rsidR="000345CC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0345CC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36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Nitrilo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ANSELL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PM-SE-690</w:t>
            </w:r>
          </w:p>
          <w:p w:rsidR="000345CC" w:rsidRDefault="00817326">
            <w:pPr>
              <w:pStyle w:val="TableParagraph"/>
              <w:ind w:left="30" w:right="14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venta: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CAJA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 100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Tallas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disponibles: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XS,S,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 adjunta detalle de oferta y ficha técnica del fabricante</w:t>
            </w:r>
          </w:p>
        </w:tc>
      </w:tr>
    </w:tbl>
    <w:p w:rsidR="000345CC" w:rsidRDefault="000345CC">
      <w:pPr>
        <w:rPr>
          <w:rFonts w:ascii="Tahoma" w:eastAsia="Tahoma" w:hAnsi="Tahoma" w:cs="Tahoma"/>
          <w:sz w:val="20"/>
          <w:szCs w:val="20"/>
        </w:rPr>
        <w:sectPr w:rsidR="000345CC">
          <w:pgSz w:w="14180" w:h="16840"/>
          <w:pgMar w:top="4680" w:right="2020" w:bottom="1720" w:left="740" w:header="1559" w:footer="1522" w:gutter="0"/>
          <w:cols w:space="720"/>
        </w:sectPr>
      </w:pPr>
    </w:p>
    <w:p w:rsidR="000345CC" w:rsidRDefault="000345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45CC" w:rsidRDefault="000345C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0345CC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81732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0345CC"/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71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¢5,500.00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¢390,500.00</w:t>
            </w:r>
          </w:p>
        </w:tc>
      </w:tr>
      <w:tr w:rsidR="000345CC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0345CC">
        <w:trPr>
          <w:trHeight w:hRule="exact" w:val="1532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36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Nitrilo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ANSELL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PM-SE-690</w:t>
            </w:r>
          </w:p>
          <w:p w:rsidR="000345CC" w:rsidRDefault="00817326">
            <w:pPr>
              <w:pStyle w:val="TableParagraph"/>
              <w:ind w:left="30" w:right="14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venta: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CAJA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 100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Tallas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disponibles: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XS,S,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XL.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adjunta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detalle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ficha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fabricante</w:t>
            </w:r>
          </w:p>
        </w:tc>
      </w:tr>
    </w:tbl>
    <w:p w:rsidR="000345CC" w:rsidRDefault="000345CC">
      <w:pPr>
        <w:rPr>
          <w:rFonts w:ascii="Tahoma" w:eastAsia="Tahoma" w:hAnsi="Tahoma" w:cs="Tahoma"/>
          <w:sz w:val="20"/>
          <w:szCs w:val="20"/>
        </w:rPr>
        <w:sectPr w:rsidR="000345CC">
          <w:pgSz w:w="14180" w:h="16840"/>
          <w:pgMar w:top="4680" w:right="2020" w:bottom="1720" w:left="740" w:header="1559" w:footer="1522" w:gutter="0"/>
          <w:cols w:space="720"/>
        </w:sectPr>
      </w:pPr>
    </w:p>
    <w:p w:rsidR="000345CC" w:rsidRDefault="000345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45CC" w:rsidRDefault="000345C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0345CC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81732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0345CC"/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¢5,500.00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¢660,000.00</w:t>
            </w:r>
          </w:p>
        </w:tc>
      </w:tr>
      <w:tr w:rsidR="000345CC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0345CC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36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Nitrilo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ANSELL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PM-SE-690</w:t>
            </w:r>
          </w:p>
          <w:p w:rsidR="000345CC" w:rsidRDefault="00817326">
            <w:pPr>
              <w:pStyle w:val="TableParagraph"/>
              <w:ind w:left="30" w:right="14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venta: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CAJA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 100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Tallas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disponibles: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XS,S,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 adjunta detalle de oferta y ficha técnica del fabricante</w:t>
            </w:r>
          </w:p>
        </w:tc>
      </w:tr>
    </w:tbl>
    <w:p w:rsidR="000345CC" w:rsidRDefault="000345CC">
      <w:pPr>
        <w:rPr>
          <w:rFonts w:ascii="Tahoma" w:eastAsia="Tahoma" w:hAnsi="Tahoma" w:cs="Tahoma"/>
          <w:sz w:val="20"/>
          <w:szCs w:val="20"/>
        </w:rPr>
        <w:sectPr w:rsidR="000345CC">
          <w:pgSz w:w="14180" w:h="16840"/>
          <w:pgMar w:top="4680" w:right="2020" w:bottom="1720" w:left="740" w:header="1559" w:footer="1522" w:gutter="0"/>
          <w:cols w:space="720"/>
        </w:sectPr>
      </w:pPr>
    </w:p>
    <w:p w:rsidR="000345CC" w:rsidRDefault="000345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45CC" w:rsidRDefault="000345C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0345CC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817326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0345CC" w:rsidRDefault="000345CC"/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595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¢5,500.00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¢3,272,500.00</w:t>
            </w:r>
          </w:p>
        </w:tc>
      </w:tr>
      <w:tr w:rsidR="000345CC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sea vía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 lo que ocurra primero.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0345CC">
        <w:trPr>
          <w:trHeight w:hRule="exact" w:val="1531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 w:right="36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Nitrilo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ANSELL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Modelo: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PM-SE-690</w:t>
            </w:r>
          </w:p>
          <w:p w:rsidR="000345CC" w:rsidRDefault="00817326">
            <w:pPr>
              <w:pStyle w:val="TableParagraph"/>
              <w:ind w:left="30" w:right="145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venta: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CAJA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 100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Tallas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disponibles: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XS,S,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L,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XL.</w:t>
            </w:r>
          </w:p>
        </w:tc>
      </w:tr>
      <w:tr w:rsidR="000345CC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0345CC" w:rsidRDefault="0081732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 adjunta detalle de oferta y ficha técnica del fabricante</w:t>
            </w:r>
          </w:p>
        </w:tc>
      </w:tr>
    </w:tbl>
    <w:p w:rsidR="000345CC" w:rsidRDefault="000345C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0345CC" w:rsidRDefault="00817326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0345CC" w:rsidRDefault="000345CC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0345CC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45CC" w:rsidRDefault="00817326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45CC" w:rsidRDefault="00817326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0345CC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45CC" w:rsidRDefault="00817326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45CC" w:rsidRDefault="00817326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economica SONDEL SA</w:t>
            </w:r>
          </w:p>
        </w:tc>
      </w:tr>
      <w:tr w:rsidR="000345CC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45CC" w:rsidRDefault="00817326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45CC" w:rsidRDefault="00817326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10-2019-12019CD-000084-PROVCD-1.pdf</w:t>
            </w:r>
          </w:p>
        </w:tc>
      </w:tr>
    </w:tbl>
    <w:p w:rsidR="000345CC" w:rsidRDefault="000345CC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345CC" w:rsidRDefault="000345CC">
      <w:pPr>
        <w:spacing w:before="6"/>
        <w:rPr>
          <w:rFonts w:ascii="Tahoma" w:eastAsia="Tahoma" w:hAnsi="Tahoma" w:cs="Tahoma"/>
          <w:b/>
          <w:bCs/>
          <w:sz w:val="20"/>
          <w:szCs w:val="20"/>
        </w:rPr>
      </w:pPr>
    </w:p>
    <w:p w:rsidR="000345CC" w:rsidRDefault="00817326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0345CC" w:rsidRDefault="000345CC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0345CC" w:rsidRDefault="00817326">
      <w:pPr>
        <w:pStyle w:val="Textkrper"/>
        <w:spacing w:before="65"/>
        <w:ind w:left="152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0345CC" w:rsidRDefault="00817326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0345CC" w:rsidRDefault="00817326">
      <w:pPr>
        <w:pStyle w:val="Textkrper"/>
        <w:spacing w:line="241" w:lineRule="exact"/>
        <w:ind w:left="752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0345CC" w:rsidRDefault="00817326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</w:t>
      </w:r>
      <w:r>
        <w:t>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0345CC" w:rsidRDefault="00817326">
      <w:pPr>
        <w:pStyle w:val="Textkrper"/>
        <w:numPr>
          <w:ilvl w:val="1"/>
          <w:numId w:val="1"/>
        </w:numPr>
        <w:tabs>
          <w:tab w:val="left" w:pos="753"/>
        </w:tabs>
        <w:ind w:hanging="407"/>
        <w:rPr>
          <w:b w:val="0"/>
          <w:bCs w:val="0"/>
        </w:rPr>
      </w:pPr>
      <w:r>
        <w:t>Que mi representada (en caso de persona jurídica o física) no se encuentra inhabilitada para</w:t>
      </w:r>
    </w:p>
    <w:p w:rsidR="000345CC" w:rsidRDefault="000345CC">
      <w:pPr>
        <w:sectPr w:rsidR="000345CC">
          <w:pgSz w:w="14180" w:h="16840"/>
          <w:pgMar w:top="4680" w:right="2020" w:bottom="1720" w:left="740" w:header="1559" w:footer="1522" w:gutter="0"/>
          <w:cols w:space="720"/>
        </w:sectPr>
      </w:pPr>
    </w:p>
    <w:p w:rsidR="000345CC" w:rsidRDefault="000345CC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0345CC" w:rsidRDefault="00817326">
      <w:pPr>
        <w:pStyle w:val="Textkrper"/>
        <w:spacing w:before="65"/>
        <w:rPr>
          <w:rFonts w:cs="Tahoma"/>
          <w:b w:val="0"/>
          <w:bCs w:val="0"/>
        </w:rPr>
      </w:pPr>
      <w:r>
        <w:t>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rPr>
          <w:spacing w:val="-1"/>
        </w:rPr>
        <w:t xml:space="preserve">100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</w:p>
    <w:p w:rsidR="000345CC" w:rsidRDefault="00817326">
      <w:pPr>
        <w:pStyle w:val="Textkrper"/>
        <w:rPr>
          <w:b w:val="0"/>
          <w:bCs w:val="0"/>
        </w:rPr>
      </w:pPr>
      <w:r>
        <w:t>Contratación Administrativa.</w:t>
      </w:r>
    </w:p>
    <w:p w:rsidR="000345CC" w:rsidRDefault="00817326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0345CC" w:rsidRDefault="00817326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left="712"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0345CC" w:rsidRDefault="00817326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0345CC" w:rsidRDefault="00817326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0345CC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7326">
      <w:r>
        <w:separator/>
      </w:r>
    </w:p>
  </w:endnote>
  <w:endnote w:type="continuationSeparator" w:id="0">
    <w:p w:rsidR="00000000" w:rsidRDefault="008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CC" w:rsidRDefault="00817326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6744;mso-position-horizontal-relative:page;mso-position-vertical-relative:page" filled="f" stroked="f">
          <v:textbox inset="0,0,0,0">
            <w:txbxContent>
              <w:p w:rsidR="000345CC" w:rsidRDefault="00817326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7326">
      <w:r>
        <w:separator/>
      </w:r>
    </w:p>
  </w:footnote>
  <w:footnote w:type="continuationSeparator" w:id="0">
    <w:p w:rsidR="00000000" w:rsidRDefault="0081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CC" w:rsidRDefault="0081732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679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6768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CC" w:rsidRDefault="0081732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672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6696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CC" w:rsidRDefault="0081732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66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6648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4AAB"/>
    <w:multiLevelType w:val="hybridMultilevel"/>
    <w:tmpl w:val="AEAC8E64"/>
    <w:lvl w:ilvl="0" w:tplc="302C9318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75C6CC0E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E80A83EC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57F26D74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55CAA16C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4A5AF204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489027B4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AC943FEE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ED4C05FE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73B93F1C"/>
    <w:multiLevelType w:val="hybridMultilevel"/>
    <w:tmpl w:val="AF640114"/>
    <w:lvl w:ilvl="0" w:tplc="9924856C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039CF75E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7B4A2C0E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7478BFF0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FEA49B4E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7B7A9118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A7C0E07C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A1A4B272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56C8A9C6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45CC"/>
    <w:rsid w:val="000345CC"/>
    <w:rsid w:val="0081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ervicioalcliente4@sondels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945</Words>
  <Characters>5286</Characters>
  <Application>Microsoft Office Word</Application>
  <DocSecurity>4</DocSecurity>
  <Lines>271</Lines>
  <Paragraphs>194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2019-05-13T20:09:00Z</dcterms:created>
  <dcterms:modified xsi:type="dcterms:W3CDTF">2019-05-13T20:09:00Z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