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0D" w:rsidRDefault="00A30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0D" w:rsidRDefault="00A3050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3050D" w:rsidRDefault="00B748D2">
      <w:pPr>
        <w:pStyle w:val="berschrift1"/>
        <w:spacing w:before="44" w:line="480" w:lineRule="auto"/>
        <w:ind w:left="2264" w:right="2136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1"/>
        </w:rPr>
        <w:t>2019CD-000028-CJCM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ABBOTT</w:t>
      </w:r>
      <w:r>
        <w:rPr>
          <w:spacing w:val="-2"/>
        </w:rPr>
        <w:t xml:space="preserve"> </w:t>
      </w:r>
      <w:r>
        <w:rPr>
          <w:spacing w:val="-1"/>
        </w:rPr>
        <w:t xml:space="preserve">HEALTHCARE COSTA </w:t>
      </w:r>
      <w:r>
        <w:t>RICA</w:t>
      </w:r>
      <w:r>
        <w:rPr>
          <w:spacing w:val="-1"/>
        </w:rPr>
        <w:t xml:space="preserve"> </w:t>
      </w:r>
      <w:r>
        <w:rPr>
          <w:spacing w:val="-2"/>
        </w:rPr>
        <w:t>S.A.</w:t>
      </w:r>
    </w:p>
    <w:p w:rsidR="00A3050D" w:rsidRDefault="00B748D2">
      <w:pPr>
        <w:ind w:left="33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4"/>
          <w:sz w:val="28"/>
          <w:highlight w:val="yellow"/>
        </w:rPr>
        <w:t>CONTROL</w:t>
      </w:r>
      <w:r>
        <w:rPr>
          <w:rFonts w:ascii="Calibri"/>
          <w:b/>
          <w:spacing w:val="-7"/>
          <w:sz w:val="28"/>
          <w:highlight w:val="yellow"/>
        </w:rPr>
        <w:t xml:space="preserve"> </w:t>
      </w:r>
      <w:r>
        <w:rPr>
          <w:rFonts w:ascii="Calibri"/>
          <w:b/>
          <w:spacing w:val="-1"/>
          <w:sz w:val="28"/>
          <w:highlight w:val="yellow"/>
        </w:rPr>
        <w:t>DE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pacing w:val="-5"/>
          <w:sz w:val="28"/>
          <w:highlight w:val="yellow"/>
        </w:rPr>
        <w:t>HEMOGLOBINA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z w:val="28"/>
          <w:highlight w:val="yellow"/>
        </w:rPr>
        <w:t>Y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3"/>
          <w:sz w:val="28"/>
          <w:highlight w:val="yellow"/>
        </w:rPr>
        <w:t>KIT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8"/>
          <w:sz w:val="28"/>
          <w:highlight w:val="yellow"/>
        </w:rPr>
        <w:t>PARA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pacing w:val="-5"/>
          <w:sz w:val="28"/>
          <w:highlight w:val="yellow"/>
        </w:rPr>
        <w:t>REALIZACION</w:t>
      </w:r>
      <w:r>
        <w:rPr>
          <w:rFonts w:ascii="Calibri"/>
          <w:b/>
          <w:spacing w:val="-9"/>
          <w:sz w:val="28"/>
          <w:highlight w:val="yellow"/>
        </w:rPr>
        <w:t xml:space="preserve"> </w:t>
      </w:r>
      <w:r>
        <w:rPr>
          <w:rFonts w:ascii="Calibri"/>
          <w:b/>
          <w:spacing w:val="-1"/>
          <w:sz w:val="28"/>
          <w:highlight w:val="yellow"/>
        </w:rPr>
        <w:t>DE</w:t>
      </w:r>
      <w:r>
        <w:rPr>
          <w:rFonts w:ascii="Calibri"/>
          <w:b/>
          <w:spacing w:val="-6"/>
          <w:sz w:val="28"/>
          <w:highlight w:val="yellow"/>
        </w:rPr>
        <w:t xml:space="preserve"> </w:t>
      </w:r>
      <w:r>
        <w:rPr>
          <w:rFonts w:ascii="Calibri"/>
          <w:b/>
          <w:spacing w:val="-5"/>
          <w:sz w:val="28"/>
          <w:highlight w:val="yellow"/>
        </w:rPr>
        <w:t>HEMOGRAMAS</w:t>
      </w:r>
    </w:p>
    <w:p w:rsidR="00A3050D" w:rsidRDefault="00A3050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3050D" w:rsidRDefault="00B748D2">
      <w:pPr>
        <w:pStyle w:val="Textkrper"/>
        <w:ind w:right="115"/>
        <w:jc w:val="both"/>
      </w:pPr>
      <w:r>
        <w:rPr>
          <w:spacing w:val="-1"/>
        </w:rPr>
        <w:t>Para</w:t>
      </w:r>
      <w:r>
        <w:rPr>
          <w:spacing w:val="15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publicó</w:t>
      </w:r>
      <w:r>
        <w:rPr>
          <w:spacing w:val="15"/>
        </w:rPr>
        <w:t xml:space="preserve"> </w:t>
      </w:r>
      <w:r>
        <w:rPr>
          <w:spacing w:val="-1"/>
        </w:rPr>
        <w:t>cartel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invitación</w:t>
      </w:r>
      <w:r>
        <w:rPr>
          <w:spacing w:val="14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tramita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amparado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1"/>
        </w:rPr>
        <w:t>139</w:t>
      </w:r>
      <w:r>
        <w:rPr>
          <w:spacing w:val="28"/>
        </w:rPr>
        <w:t xml:space="preserve"> </w:t>
      </w:r>
      <w:r>
        <w:t>A)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Administrativa,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dice:</w:t>
      </w:r>
      <w:r>
        <w:rPr>
          <w:spacing w:val="24"/>
        </w:rPr>
        <w:t xml:space="preserve"> </w:t>
      </w:r>
      <w:r>
        <w:rPr>
          <w:spacing w:val="-1"/>
        </w:rPr>
        <w:t>Objetos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circunstancia</w:t>
      </w:r>
      <w:r>
        <w:rPr>
          <w:spacing w:val="24"/>
        </w:rPr>
        <w:t xml:space="preserve"> </w:t>
      </w:r>
      <w:r>
        <w:rPr>
          <w:spacing w:val="-1"/>
        </w:rPr>
        <w:t>concurrente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compatibles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concurso.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Administración,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rPr>
          <w:spacing w:val="-1"/>
        </w:rPr>
        <w:t>contratar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forma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siguientes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rPr>
          <w:spacing w:val="-1"/>
        </w:rPr>
        <w:t>naturaleza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circunstancias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concurrentes,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puede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conviene</w:t>
      </w:r>
      <w:r>
        <w:rPr>
          <w:spacing w:val="12"/>
        </w:rPr>
        <w:t xml:space="preserve"> </w:t>
      </w:r>
      <w:r>
        <w:rPr>
          <w:spacing w:val="-1"/>
        </w:rPr>
        <w:t>adquirirse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concurso,</w:t>
      </w:r>
      <w:r>
        <w:rPr>
          <w:rFonts w:ascii="Times New Roman" w:hAnsi="Times New Roman"/>
          <w:spacing w:val="38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habilite </w:t>
      </w:r>
      <w:r>
        <w:t>la</w:t>
      </w:r>
      <w:r>
        <w:rPr>
          <w:spacing w:val="-1"/>
        </w:rPr>
        <w:t xml:space="preserve"> Contraloría 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República.</w:t>
      </w:r>
    </w:p>
    <w:sectPr w:rsidR="00A3050D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050D"/>
    <w:rsid w:val="00A3050D"/>
    <w:rsid w:val="00B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37" w:hanging="1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19</Lines>
  <Paragraphs>3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2019-05-17T13:42:00Z</dcterms:created>
  <dcterms:modified xsi:type="dcterms:W3CDTF">2019-05-17T13:42:00Z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